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 w:hAnsi="Times New Roman"/>
          <w:b/>
          <w:caps w:val="false"/>
          <w:smallCaps w:val="false"/>
          <w:sz w:val="20"/>
        </w:rPr>
      </w:pPr>
      <w:bookmarkStart w:id="0" w:name="clnn20260911_424b5.htm"/>
      <w:bookmarkStart w:id="1" w:name="ksclnn20260911_424b5"/>
      <w:bookmarkEnd w:id="0"/>
      <w:bookmarkEnd w:id="1"/>
      <w:r>
        <w:rPr>
          <w:rFonts w:ascii="Times New Roman" w:hAnsi="Times New Roman"/>
          <w:b/>
          <w:caps w:val="false"/>
          <w:smallCaps w:val="false"/>
          <w:sz w:val="20"/>
        </w:rPr>
        <w:t>Filed Pursuant to Rule 424(b)(5)</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333-286058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 Prospectus dated April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2"/>
        </w:rPr>
      </w:pPr>
      <w:r>
        <w:rPr>
          <w:rFonts w:ascii="Times New Roman" w:hAnsi="Times New Roman"/>
          <w:b/>
          <w:caps w:val="false"/>
          <w:smallCaps w:val="false"/>
          <w:sz w:val="52"/>
        </w:rPr>
        <w:t>Clene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bookmarkStart w:id="2" w:name="led401386F2026891788982971704"/>
      <w:bookmarkEnd w:id="2"/>
      <w:r>
        <w:rPr>
          <w:rFonts w:ascii="Times New Roman" w:hAnsi="Times New Roman"/>
          <w:b/>
          <w:caps w:val="false"/>
          <w:smallCaps w:val="false"/>
          <w:sz w:val="24"/>
        </w:rPr>
        <w:t>1,219,513 Shares of Common Stock</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are offering </w:t>
      </w:r>
      <w:bookmarkStart w:id="3" w:name="led401386F2026891788981034140"/>
      <w:bookmarkEnd w:id="3"/>
      <w:r>
        <w:rPr>
          <w:rFonts w:ascii="Times New Roman" w:hAnsi="Times New Roman"/>
          <w:caps w:val="false"/>
          <w:smallCaps w:val="false"/>
          <w:sz w:val="20"/>
        </w:rPr>
        <w:t xml:space="preserve">1,219,513 shares of our common stock, par value $0.0001 per share (“common stock”) at an offering price of </w:t>
      </w:r>
      <w:bookmarkStart w:id="4" w:name="led401386F2026891788981047121"/>
      <w:bookmarkEnd w:id="4"/>
      <w:r>
        <w:rPr>
          <w:rFonts w:ascii="Times New Roman" w:hAnsi="Times New Roman"/>
          <w:caps w:val="false"/>
          <w:smallCaps w:val="false"/>
          <w:sz w:val="20"/>
        </w:rPr>
        <w:t>$3.28 per share directly to certain of our existing stockholders, including certain of our directors and officers, (the “Purchasers”) in this offering pursuant to this prospectus supplement, the accompanying base prospectus and a securities purchase agreement, dated </w:t>
      </w:r>
      <w:bookmarkStart w:id="5" w:name="led401375F20248251727308347540"/>
      <w:bookmarkEnd w:id="5"/>
      <w:r>
        <w:rPr>
          <w:rFonts w:ascii="Times New Roman" w:hAnsi="Times New Roman"/>
          <w:caps w:val="false"/>
          <w:smallCaps w:val="false"/>
          <w:sz w:val="20"/>
        </w:rPr>
        <w:t>September 15, 2026 (the “</w:t>
      </w:r>
      <w:bookmarkStart w:id="6" w:name="led401375F20248281727545432521"/>
      <w:bookmarkEnd w:id="6"/>
      <w:r>
        <w:rPr>
          <w:rFonts w:ascii="Times New Roman" w:hAnsi="Times New Roman"/>
          <w:caps w:val="false"/>
          <w:smallCaps w:val="false"/>
          <w:sz w:val="20"/>
        </w:rPr>
        <w:t xml:space="preserve">Securities Purchase Agreement”). This offering is being made without a placement agent, underwriter, broker or dealer and we are not paying underwriting discounts or commissions, so we expect the proceeds to us, before expenses, will be approximately </w:t>
      </w:r>
      <w:bookmarkStart w:id="7" w:name="led401386F2026891788981193584"/>
      <w:bookmarkEnd w:id="7"/>
      <w:r>
        <w:rPr>
          <w:rFonts w:ascii="Times New Roman" w:hAnsi="Times New Roman"/>
          <w:caps w:val="false"/>
          <w:smallCaps w:val="false"/>
          <w:sz w:val="20"/>
        </w:rPr>
        <w:t>$4.0 million. We estimate the total offering expenses will be insignificant.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Certain of our directors and officers have agreed to purchase shares of our common stock in this offering with an aggregate purchase price of approximately </w:t>
      </w:r>
      <w:bookmarkStart w:id="8" w:name="led401386F20268141789422489361"/>
      <w:bookmarkEnd w:id="8"/>
      <w:r>
        <w:rPr>
          <w:rFonts w:ascii="Times New Roman" w:hAnsi="Times New Roman"/>
          <w:caps w:val="false"/>
          <w:smallCaps w:val="false"/>
          <w:sz w:val="20"/>
        </w:rPr>
        <w:t>$2.1 million at the offering price. The offering price to directors and officers is equal to or greater than the consolidated closing bid price immediately preceding the time we entered into the Securities Purchase Agreement with such directors and officers.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Our common stock is listed on The Nasdaq Capital Market (“Nasdaq”) under the symbol “CLNN.” On </w:t>
      </w:r>
      <w:bookmarkStart w:id="9" w:name="led401375F20234111683839691555"/>
      <w:bookmarkEnd w:id="9"/>
      <w:r>
        <w:rPr>
          <w:rFonts w:ascii="Times New Roman" w:hAnsi="Times New Roman"/>
          <w:caps w:val="false"/>
          <w:smallCaps w:val="false"/>
          <w:sz w:val="20"/>
        </w:rPr>
        <w:t xml:space="preserve">September 14, 2026, the last reported sale price of our common stock on Nasdaq was </w:t>
      </w:r>
      <w:bookmarkStart w:id="10" w:name="led401375F20234111683839697203"/>
      <w:bookmarkEnd w:id="10"/>
      <w:r>
        <w:rPr>
          <w:rFonts w:ascii="Times New Roman" w:hAnsi="Times New Roman"/>
          <w:caps w:val="false"/>
          <w:smallCaps w:val="false"/>
          <w:sz w:val="20"/>
        </w:rPr>
        <w:t>$3.28.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pPr>
      <w:r>
        <w:rPr>
          <w:rFonts w:ascii="Times New Roman" w:hAnsi="Times New Roman"/>
          <w:b/>
          <w:caps w:val="false"/>
          <w:smallCaps w:val="false"/>
          <w:sz w:val="20"/>
        </w:rPr>
        <w:t xml:space="preserve">Investing in our securities involves a high degree of risk. See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section beginning on page </w:t>
      </w:r>
      <w:hyperlink w:anchor="S_RISK_FACTORS">
        <w:r>
          <w:rPr>
            <w:rStyle w:val="InternetLink"/>
            <w:rFonts w:ascii="Times New Roman" w:hAnsi="Times New Roman"/>
            <w:b/>
            <w:caps w:val="false"/>
            <w:smallCaps w:val="false"/>
            <w:sz w:val="20"/>
            <w:u w:val="single"/>
          </w:rPr>
          <w:t>S-9</w:t>
        </w:r>
      </w:hyperlink>
      <w:r>
        <w:rPr>
          <w:rFonts w:ascii="Times New Roman" w:hAnsi="Times New Roman"/>
          <w:b/>
          <w:caps w:val="false"/>
          <w:smallCaps w:val="false"/>
          <w:sz w:val="20"/>
        </w:rPr>
        <w:t xml:space="preserve"> and in the documents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that term is defined under the federal securities laws and, as such, we have elected to comply with certain reduced public company reporting requirements and may elect to do so in future filings.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b/>
          <w:caps w:val="false"/>
          <w:smallCaps w:val="false"/>
          <w:sz w:val="20"/>
        </w:rPr>
      </w:pPr>
      <w:r>
        <w:rPr>
          <w:rFonts w:ascii="Times New Roman" w:hAnsi="Times New Roman"/>
          <w:b/>
          <w:caps w:val="false"/>
          <w:smallCaps w:val="false"/>
          <w:sz w:val="20"/>
        </w:rPr>
        <w:t>Neither the SEC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Delivery of the shares of common stock is expected to be made on or about </w:t>
      </w:r>
      <w:bookmarkStart w:id="11" w:name="led401375F2026061767719044407"/>
      <w:bookmarkEnd w:id="11"/>
      <w:r>
        <w:rPr>
          <w:rFonts w:ascii="Times New Roman" w:hAnsi="Times New Roman"/>
          <w:caps w:val="false"/>
          <w:smallCaps w:val="false"/>
          <w:sz w:val="20"/>
        </w:rPr>
        <w:t>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date of this prospectus supplement is </w:t>
      </w:r>
      <w:bookmarkStart w:id="12" w:name="led401375F20234111683839727038"/>
      <w:bookmarkEnd w:id="12"/>
      <w:r>
        <w:rPr>
          <w:rFonts w:ascii="Times New Roman" w:hAnsi="Times New Roman"/>
          <w:b/>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30"/>
        <w:gridCol w:w="47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S_ABOUT_PROSPECTUS">
              <w:r>
                <w:rPr>
                  <w:rStyle w:val="InternetLink"/>
                  <w:rFonts w:ascii="Times New Roman" w:hAnsi="Times New Roman"/>
                  <w:caps w:val="false"/>
                  <w:smallCaps w:val="false"/>
                  <w:sz w:val="20"/>
                  <w:u w:val="single"/>
                </w:rPr>
                <w:t>ABOUT THIS PROSPECTUS SUPPLEMENT</w:t>
              </w:r>
            </w:hyperlink>
          </w:p>
        </w:tc>
        <w:tc>
          <w:tcPr>
            <w:tcW w:w="470" w:type="dxa"/>
            <w:tcBorders/>
            <w:shd w:fill="CCEEFF" w:val="clear"/>
            <w:vAlign w:val="center"/>
          </w:tcPr>
          <w:p>
            <w:pPr>
              <w:pStyle w:val="TableContents"/>
              <w:bidi w:val="0"/>
              <w:spacing w:before="0" w:after="283"/>
              <w:jc w:val="center"/>
              <w:rPr/>
            </w:pPr>
            <w:hyperlink w:anchor="S_ABOUT_PROSPECTUS">
              <w:r>
                <w:rPr>
                  <w:rStyle w:val="InternetLink"/>
                  <w:u w:val="single"/>
                </w:rPr>
                <w:t>S-1</w:t>
              </w:r>
            </w:hyperlink>
          </w:p>
        </w:tc>
      </w:tr>
      <w:tr>
        <w:trPr/>
        <w:tc>
          <w:tcPr>
            <w:tcW w:w="6230" w:type="dxa"/>
            <w:tcBorders/>
            <w:shd w:fill="FFFFFF" w:val="clear"/>
            <w:vAlign w:val="center"/>
          </w:tcPr>
          <w:p>
            <w:pPr>
              <w:pStyle w:val="TableContents"/>
              <w:bidi w:val="0"/>
              <w:spacing w:before="0" w:after="0"/>
              <w:ind w:left="0" w:right="0" w:hanging="0"/>
              <w:jc w:val="left"/>
              <w:rPr/>
            </w:pPr>
            <w:hyperlink w:anchor="S_CAUTIONARY_NOTE">
              <w:r>
                <w:rPr>
                  <w:rStyle w:val="InternetLink"/>
                  <w:rFonts w:ascii="Times New Roman" w:hAnsi="Times New Roman"/>
                  <w:caps w:val="false"/>
                  <w:smallCaps w:val="false"/>
                  <w:sz w:val="20"/>
                  <w:u w:val="single"/>
                </w:rPr>
                <w:t>CAUTIONARY NOTE REGARDING FORWARD-LOOKING STATEMENTS</w:t>
              </w:r>
            </w:hyperlink>
          </w:p>
        </w:tc>
        <w:tc>
          <w:tcPr>
            <w:tcW w:w="470" w:type="dxa"/>
            <w:tcBorders/>
            <w:shd w:fill="FFFFFF" w:val="clear"/>
            <w:vAlign w:val="center"/>
          </w:tcPr>
          <w:p>
            <w:pPr>
              <w:pStyle w:val="TableContents"/>
              <w:bidi w:val="0"/>
              <w:spacing w:before="0" w:after="283"/>
              <w:jc w:val="center"/>
              <w:rPr/>
            </w:pPr>
            <w:hyperlink w:anchor="S_CAUTIONARY_NOTE">
              <w:r>
                <w:rPr>
                  <w:rStyle w:val="InternetLink"/>
                  <w:u w:val="single"/>
                </w:rPr>
                <w:t>S-2</w:t>
              </w:r>
            </w:hyperlink>
          </w:p>
        </w:tc>
      </w:tr>
      <w:tr>
        <w:trPr/>
        <w:tc>
          <w:tcPr>
            <w:tcW w:w="6230" w:type="dxa"/>
            <w:tcBorders/>
            <w:shd w:fill="CCEEFF" w:val="clear"/>
            <w:vAlign w:val="center"/>
          </w:tcPr>
          <w:p>
            <w:pPr>
              <w:pStyle w:val="TableContents"/>
              <w:bidi w:val="0"/>
              <w:spacing w:before="0" w:after="0"/>
              <w:ind w:left="0" w:right="0" w:hanging="0"/>
              <w:jc w:val="left"/>
              <w:rPr/>
            </w:pPr>
            <w:hyperlink w:anchor="S_MARKET_DATA">
              <w:r>
                <w:rPr>
                  <w:rStyle w:val="InternetLink"/>
                  <w:rFonts w:ascii="Times New Roman" w:hAnsi="Times New Roman"/>
                  <w:caps w:val="false"/>
                  <w:smallCaps w:val="false"/>
                  <w:sz w:val="20"/>
                  <w:u w:val="single"/>
                </w:rPr>
                <w:t>MARKET AND INDUSTRY DATA</w:t>
              </w:r>
            </w:hyperlink>
          </w:p>
        </w:tc>
        <w:tc>
          <w:tcPr>
            <w:tcW w:w="470" w:type="dxa"/>
            <w:tcBorders/>
            <w:shd w:fill="CCEEFF" w:val="clear"/>
            <w:vAlign w:val="center"/>
          </w:tcPr>
          <w:p>
            <w:pPr>
              <w:pStyle w:val="TableContents"/>
              <w:bidi w:val="0"/>
              <w:spacing w:before="0" w:after="283"/>
              <w:jc w:val="center"/>
              <w:rPr/>
            </w:pPr>
            <w:hyperlink w:anchor="S_MARKET_DATA">
              <w:r>
                <w:rPr>
                  <w:rStyle w:val="InternetLink"/>
                  <w:u w:val="single"/>
                </w:rPr>
                <w:t>S-4</w:t>
              </w:r>
            </w:hyperlink>
          </w:p>
        </w:tc>
      </w:tr>
      <w:tr>
        <w:trPr/>
        <w:tc>
          <w:tcPr>
            <w:tcW w:w="6230" w:type="dxa"/>
            <w:tcBorders/>
            <w:shd w:fill="FFFFFF" w:val="clear"/>
            <w:vAlign w:val="center"/>
          </w:tcPr>
          <w:p>
            <w:pPr>
              <w:pStyle w:val="TableContents"/>
              <w:bidi w:val="0"/>
              <w:spacing w:before="0" w:after="0"/>
              <w:ind w:left="0" w:right="0" w:hanging="0"/>
              <w:jc w:val="left"/>
              <w:rPr/>
            </w:pPr>
            <w:hyperlink w:anchor="S_SUMMARY">
              <w:r>
                <w:rPr>
                  <w:rStyle w:val="InternetLink"/>
                  <w:rFonts w:ascii="Times New Roman" w:hAnsi="Times New Roman"/>
                  <w:caps w:val="false"/>
                  <w:smallCaps w:val="false"/>
                  <w:sz w:val="20"/>
                  <w:u w:val="single"/>
                </w:rPr>
                <w:t>PROSPECTUS SUPPLEMENT SUMMARY</w:t>
              </w:r>
            </w:hyperlink>
          </w:p>
        </w:tc>
        <w:tc>
          <w:tcPr>
            <w:tcW w:w="470" w:type="dxa"/>
            <w:tcBorders/>
            <w:shd w:fill="FFFFFF" w:val="clear"/>
            <w:vAlign w:val="center"/>
          </w:tcPr>
          <w:p>
            <w:pPr>
              <w:pStyle w:val="TableContents"/>
              <w:bidi w:val="0"/>
              <w:spacing w:before="0" w:after="283"/>
              <w:jc w:val="center"/>
              <w:rPr/>
            </w:pPr>
            <w:hyperlink w:anchor="S_SUMMARY">
              <w:r>
                <w:rPr>
                  <w:rStyle w:val="InternetLink"/>
                  <w:u w:val="single"/>
                </w:rPr>
                <w:t>S-5</w:t>
              </w:r>
            </w:hyperlink>
          </w:p>
        </w:tc>
      </w:tr>
      <w:tr>
        <w:trPr/>
        <w:tc>
          <w:tcPr>
            <w:tcW w:w="6230" w:type="dxa"/>
            <w:tcBorders/>
            <w:shd w:fill="CCEEFF" w:val="clear"/>
            <w:vAlign w:val="center"/>
          </w:tcPr>
          <w:p>
            <w:pPr>
              <w:pStyle w:val="TableContents"/>
              <w:bidi w:val="0"/>
              <w:spacing w:before="0" w:after="0"/>
              <w:ind w:left="0" w:right="0" w:hanging="0"/>
              <w:jc w:val="left"/>
              <w:rPr/>
            </w:pPr>
            <w:hyperlink w:anchor="S_OFFERING">
              <w:r>
                <w:rPr>
                  <w:rStyle w:val="InternetLink"/>
                  <w:rFonts w:ascii="Times New Roman" w:hAnsi="Times New Roman"/>
                  <w:caps w:val="false"/>
                  <w:smallCaps w:val="false"/>
                  <w:sz w:val="20"/>
                  <w:u w:val="single"/>
                </w:rPr>
                <w:t>THE OFFERING</w:t>
              </w:r>
            </w:hyperlink>
          </w:p>
        </w:tc>
        <w:tc>
          <w:tcPr>
            <w:tcW w:w="470" w:type="dxa"/>
            <w:tcBorders/>
            <w:shd w:fill="CCEEFF" w:val="clear"/>
            <w:vAlign w:val="center"/>
          </w:tcPr>
          <w:p>
            <w:pPr>
              <w:pStyle w:val="TableContents"/>
              <w:bidi w:val="0"/>
              <w:spacing w:before="0" w:after="283"/>
              <w:jc w:val="center"/>
              <w:rPr/>
            </w:pPr>
            <w:hyperlink w:anchor="S_OFFERING">
              <w:r>
                <w:rPr>
                  <w:rStyle w:val="InternetLink"/>
                  <w:u w:val="single"/>
                </w:rPr>
                <w:t>S-8</w:t>
              </w:r>
            </w:hyperlink>
          </w:p>
        </w:tc>
      </w:tr>
      <w:tr>
        <w:trPr/>
        <w:tc>
          <w:tcPr>
            <w:tcW w:w="6230" w:type="dxa"/>
            <w:tcBorders/>
            <w:shd w:fill="FFFFFF" w:val="clear"/>
            <w:vAlign w:val="center"/>
          </w:tcPr>
          <w:p>
            <w:pPr>
              <w:pStyle w:val="TableContents"/>
              <w:bidi w:val="0"/>
              <w:spacing w:before="0" w:after="0"/>
              <w:ind w:left="0" w:right="0" w:hanging="0"/>
              <w:jc w:val="left"/>
              <w:rPr/>
            </w:pPr>
            <w:hyperlink w:anchor="S_RISK_FACTORS">
              <w:r>
                <w:rPr>
                  <w:rStyle w:val="InternetLink"/>
                  <w:rFonts w:ascii="Times New Roman" w:hAnsi="Times New Roman"/>
                  <w:caps w:val="false"/>
                  <w:smallCaps w:val="false"/>
                  <w:sz w:val="20"/>
                  <w:u w:val="single"/>
                </w:rPr>
                <w:t>RISK FACTORS</w:t>
              </w:r>
            </w:hyperlink>
          </w:p>
        </w:tc>
        <w:tc>
          <w:tcPr>
            <w:tcW w:w="470" w:type="dxa"/>
            <w:tcBorders/>
            <w:shd w:fill="FFFFFF" w:val="clear"/>
            <w:vAlign w:val="center"/>
          </w:tcPr>
          <w:p>
            <w:pPr>
              <w:pStyle w:val="TableContents"/>
              <w:bidi w:val="0"/>
              <w:spacing w:before="0" w:after="283"/>
              <w:jc w:val="center"/>
              <w:rPr/>
            </w:pPr>
            <w:hyperlink w:anchor="S_RISK_FACTORS">
              <w:r>
                <w:rPr>
                  <w:rStyle w:val="InternetLink"/>
                  <w:u w:val="single"/>
                </w:rPr>
                <w:t>S-9</w:t>
              </w:r>
            </w:hyperlink>
          </w:p>
        </w:tc>
      </w:tr>
      <w:tr>
        <w:trPr/>
        <w:tc>
          <w:tcPr>
            <w:tcW w:w="6230" w:type="dxa"/>
            <w:tcBorders/>
            <w:shd w:fill="CCEEFF" w:val="clear"/>
            <w:vAlign w:val="center"/>
          </w:tcPr>
          <w:p>
            <w:pPr>
              <w:pStyle w:val="TableContents"/>
              <w:bidi w:val="0"/>
              <w:spacing w:before="0" w:after="0"/>
              <w:ind w:left="0" w:right="0" w:hanging="0"/>
              <w:jc w:val="left"/>
              <w:rPr/>
            </w:pPr>
            <w:hyperlink w:anchor="S_PROCEEDS">
              <w:r>
                <w:rPr>
                  <w:rStyle w:val="InternetLink"/>
                  <w:rFonts w:ascii="Times New Roman" w:hAnsi="Times New Roman"/>
                  <w:caps w:val="false"/>
                  <w:smallCaps w:val="false"/>
                  <w:sz w:val="20"/>
                  <w:u w:val="single"/>
                </w:rPr>
                <w:t>USE OF PROCEEDS</w:t>
              </w:r>
            </w:hyperlink>
          </w:p>
        </w:tc>
        <w:tc>
          <w:tcPr>
            <w:tcW w:w="470" w:type="dxa"/>
            <w:tcBorders/>
            <w:shd w:fill="CCEEFF" w:val="clear"/>
            <w:vAlign w:val="center"/>
          </w:tcPr>
          <w:p>
            <w:pPr>
              <w:pStyle w:val="TableContents"/>
              <w:bidi w:val="0"/>
              <w:spacing w:before="0" w:after="283"/>
              <w:jc w:val="center"/>
              <w:rPr/>
            </w:pPr>
            <w:hyperlink w:anchor="S_PROCEEDS">
              <w:r>
                <w:rPr>
                  <w:rStyle w:val="InternetLink"/>
                  <w:u w:val="single"/>
                </w:rPr>
                <w:t>S-10</w:t>
              </w:r>
            </w:hyperlink>
          </w:p>
        </w:tc>
      </w:tr>
      <w:tr>
        <w:trPr/>
        <w:tc>
          <w:tcPr>
            <w:tcW w:w="6230" w:type="dxa"/>
            <w:tcBorders/>
            <w:shd w:fill="FFFFFF" w:val="clear"/>
            <w:vAlign w:val="center"/>
          </w:tcPr>
          <w:p>
            <w:pPr>
              <w:pStyle w:val="TableContents"/>
              <w:bidi w:val="0"/>
              <w:spacing w:before="0" w:after="0"/>
              <w:ind w:left="0" w:right="0" w:hanging="0"/>
              <w:jc w:val="left"/>
              <w:rPr/>
            </w:pPr>
            <w:hyperlink w:anchor="S_DIVIDENDS">
              <w:r>
                <w:rPr>
                  <w:rStyle w:val="InternetLink"/>
                  <w:rFonts w:ascii="Times New Roman" w:hAnsi="Times New Roman"/>
                  <w:caps w:val="false"/>
                  <w:smallCaps w:val="false"/>
                  <w:sz w:val="20"/>
                  <w:u w:val="single"/>
                </w:rPr>
                <w:t>DIVIDEND POLICY</w:t>
              </w:r>
            </w:hyperlink>
          </w:p>
        </w:tc>
        <w:tc>
          <w:tcPr>
            <w:tcW w:w="470" w:type="dxa"/>
            <w:tcBorders/>
            <w:shd w:fill="FFFFFF" w:val="clear"/>
            <w:vAlign w:val="center"/>
          </w:tcPr>
          <w:p>
            <w:pPr>
              <w:pStyle w:val="TableContents"/>
              <w:bidi w:val="0"/>
              <w:spacing w:before="0" w:after="283"/>
              <w:jc w:val="center"/>
              <w:rPr/>
            </w:pPr>
            <w:hyperlink w:anchor="S_DIVIDENDS">
              <w:r>
                <w:rPr>
                  <w:rStyle w:val="InternetLink"/>
                  <w:u w:val="single"/>
                </w:rPr>
                <w:t>S-10</w:t>
              </w:r>
            </w:hyperlink>
          </w:p>
        </w:tc>
      </w:tr>
      <w:tr>
        <w:trPr/>
        <w:tc>
          <w:tcPr>
            <w:tcW w:w="6230" w:type="dxa"/>
            <w:tcBorders/>
            <w:shd w:fill="CCEEFF" w:val="clear"/>
            <w:vAlign w:val="center"/>
          </w:tcPr>
          <w:p>
            <w:pPr>
              <w:pStyle w:val="TableContents"/>
              <w:bidi w:val="0"/>
              <w:spacing w:before="0" w:after="283"/>
              <w:jc w:val="left"/>
              <w:rPr/>
            </w:pPr>
            <w:hyperlink w:anchor="S_SECURITIES">
              <w:r>
                <w:rPr>
                  <w:rStyle w:val="InternetLink"/>
                  <w:u w:val="single"/>
                </w:rPr>
                <w:t>DESCRIPTION OF SECURITIES</w:t>
              </w:r>
            </w:hyperlink>
          </w:p>
        </w:tc>
        <w:tc>
          <w:tcPr>
            <w:tcW w:w="470" w:type="dxa"/>
            <w:tcBorders/>
            <w:shd w:fill="CCEEFF" w:val="clear"/>
            <w:vAlign w:val="center"/>
          </w:tcPr>
          <w:p>
            <w:pPr>
              <w:pStyle w:val="TableContents"/>
              <w:bidi w:val="0"/>
              <w:spacing w:before="0" w:after="283"/>
              <w:jc w:val="center"/>
              <w:rPr/>
            </w:pPr>
            <w:hyperlink w:anchor="S_SECURITIES">
              <w:r>
                <w:rPr>
                  <w:rStyle w:val="InternetLink"/>
                  <w:u w:val="single"/>
                </w:rPr>
                <w:t>S-11</w:t>
              </w:r>
            </w:hyperlink>
          </w:p>
        </w:tc>
      </w:tr>
      <w:tr>
        <w:trPr/>
        <w:tc>
          <w:tcPr>
            <w:tcW w:w="6230" w:type="dxa"/>
            <w:tcBorders/>
            <w:shd w:fill="FFFFFF" w:val="clear"/>
            <w:vAlign w:val="center"/>
          </w:tcPr>
          <w:p>
            <w:pPr>
              <w:pStyle w:val="TableContents"/>
              <w:bidi w:val="0"/>
              <w:spacing w:before="0" w:after="0"/>
              <w:ind w:left="0" w:right="0" w:hanging="0"/>
              <w:jc w:val="left"/>
              <w:rPr/>
            </w:pPr>
            <w:hyperlink w:anchor="S_DILUTION">
              <w:r>
                <w:rPr>
                  <w:rStyle w:val="InternetLink"/>
                  <w:rFonts w:ascii="Times New Roman" w:hAnsi="Times New Roman"/>
                  <w:caps w:val="false"/>
                  <w:smallCaps w:val="false"/>
                  <w:sz w:val="20"/>
                  <w:u w:val="single"/>
                </w:rPr>
                <w:t>DILUTION</w:t>
              </w:r>
            </w:hyperlink>
          </w:p>
        </w:tc>
        <w:tc>
          <w:tcPr>
            <w:tcW w:w="470" w:type="dxa"/>
            <w:tcBorders/>
            <w:shd w:fill="FFFFFF" w:val="clear"/>
            <w:vAlign w:val="center"/>
          </w:tcPr>
          <w:p>
            <w:pPr>
              <w:pStyle w:val="TableContents"/>
              <w:bidi w:val="0"/>
              <w:spacing w:before="0" w:after="283"/>
              <w:jc w:val="center"/>
              <w:rPr/>
            </w:pPr>
            <w:hyperlink w:anchor="S_DILUTION">
              <w:r>
                <w:rPr>
                  <w:rStyle w:val="InternetLink"/>
                  <w:u w:val="single"/>
                </w:rPr>
                <w:t>S-12</w:t>
              </w:r>
            </w:hyperlink>
          </w:p>
        </w:tc>
      </w:tr>
      <w:tr>
        <w:trPr/>
        <w:tc>
          <w:tcPr>
            <w:tcW w:w="6230" w:type="dxa"/>
            <w:tcBorders/>
            <w:shd w:fill="CCEEFF" w:val="clear"/>
            <w:vAlign w:val="center"/>
          </w:tcPr>
          <w:p>
            <w:pPr>
              <w:pStyle w:val="TableContents"/>
              <w:bidi w:val="0"/>
              <w:spacing w:before="0" w:after="0"/>
              <w:ind w:left="0" w:right="0" w:hanging="0"/>
              <w:jc w:val="left"/>
              <w:rPr/>
            </w:pPr>
            <w:hyperlink w:anchor="S_DISTRIBUTION">
              <w:r>
                <w:rPr>
                  <w:rStyle w:val="InternetLink"/>
                  <w:rFonts w:ascii="Times New Roman" w:hAnsi="Times New Roman"/>
                  <w:caps w:val="false"/>
                  <w:smallCaps w:val="false"/>
                  <w:sz w:val="20"/>
                  <w:u w:val="single"/>
                </w:rPr>
                <w:t>PLAN OF DISTRIBUTION</w:t>
              </w:r>
            </w:hyperlink>
          </w:p>
        </w:tc>
        <w:tc>
          <w:tcPr>
            <w:tcW w:w="470" w:type="dxa"/>
            <w:tcBorders/>
            <w:shd w:fill="CCEEFF" w:val="clear"/>
            <w:vAlign w:val="center"/>
          </w:tcPr>
          <w:p>
            <w:pPr>
              <w:pStyle w:val="TableContents"/>
              <w:bidi w:val="0"/>
              <w:spacing w:before="0" w:after="283"/>
              <w:jc w:val="center"/>
              <w:rPr/>
            </w:pPr>
            <w:hyperlink w:anchor="S_DISTRIBUTION">
              <w:r>
                <w:rPr>
                  <w:rStyle w:val="InternetLink"/>
                  <w:u w:val="single"/>
                </w:rPr>
                <w:t>S-13</w:t>
              </w:r>
            </w:hyperlink>
          </w:p>
        </w:tc>
      </w:tr>
      <w:tr>
        <w:trPr/>
        <w:tc>
          <w:tcPr>
            <w:tcW w:w="6230" w:type="dxa"/>
            <w:tcBorders/>
            <w:shd w:fill="FFFFFF" w:val="clear"/>
            <w:vAlign w:val="center"/>
          </w:tcPr>
          <w:p>
            <w:pPr>
              <w:pStyle w:val="TableContents"/>
              <w:bidi w:val="0"/>
              <w:spacing w:before="0" w:after="0"/>
              <w:ind w:left="0" w:right="0" w:hanging="0"/>
              <w:jc w:val="left"/>
              <w:rPr/>
            </w:pPr>
            <w:hyperlink w:anchor="S_LEGAL">
              <w:r>
                <w:rPr>
                  <w:rStyle w:val="InternetLink"/>
                  <w:rFonts w:ascii="Times New Roman" w:hAnsi="Times New Roman"/>
                  <w:caps w:val="false"/>
                  <w:smallCaps w:val="false"/>
                  <w:sz w:val="20"/>
                  <w:u w:val="single"/>
                </w:rPr>
                <w:t>LEGAL MATTERS</w:t>
              </w:r>
            </w:hyperlink>
          </w:p>
        </w:tc>
        <w:tc>
          <w:tcPr>
            <w:tcW w:w="470" w:type="dxa"/>
            <w:tcBorders/>
            <w:shd w:fill="FFFFFF" w:val="clear"/>
            <w:vAlign w:val="center"/>
          </w:tcPr>
          <w:p>
            <w:pPr>
              <w:pStyle w:val="TableContents"/>
              <w:bidi w:val="0"/>
              <w:spacing w:before="0" w:after="283"/>
              <w:jc w:val="center"/>
              <w:rPr/>
            </w:pPr>
            <w:hyperlink w:anchor="S_LEGAL">
              <w:r>
                <w:rPr>
                  <w:rStyle w:val="InternetLink"/>
                  <w:u w:val="single"/>
                </w:rPr>
                <w:t>S-14</w:t>
              </w:r>
            </w:hyperlink>
          </w:p>
        </w:tc>
      </w:tr>
      <w:tr>
        <w:trPr/>
        <w:tc>
          <w:tcPr>
            <w:tcW w:w="6230" w:type="dxa"/>
            <w:tcBorders/>
            <w:shd w:fill="CCEEFF" w:val="clear"/>
            <w:vAlign w:val="center"/>
          </w:tcPr>
          <w:p>
            <w:pPr>
              <w:pStyle w:val="TableContents"/>
              <w:bidi w:val="0"/>
              <w:spacing w:before="0" w:after="0"/>
              <w:ind w:left="0" w:right="0" w:hanging="0"/>
              <w:jc w:val="left"/>
              <w:rPr/>
            </w:pPr>
            <w:hyperlink w:anchor="S_EXPERTS">
              <w:r>
                <w:rPr>
                  <w:rStyle w:val="InternetLink"/>
                  <w:rFonts w:ascii="Times New Roman" w:hAnsi="Times New Roman"/>
                  <w:caps w:val="false"/>
                  <w:smallCaps w:val="false"/>
                  <w:sz w:val="20"/>
                  <w:u w:val="single"/>
                </w:rPr>
                <w:t>EXPERTS</w:t>
              </w:r>
            </w:hyperlink>
          </w:p>
        </w:tc>
        <w:tc>
          <w:tcPr>
            <w:tcW w:w="470" w:type="dxa"/>
            <w:tcBorders/>
            <w:shd w:fill="CCEEFF" w:val="clear"/>
            <w:vAlign w:val="center"/>
          </w:tcPr>
          <w:p>
            <w:pPr>
              <w:pStyle w:val="TableContents"/>
              <w:bidi w:val="0"/>
              <w:spacing w:before="0" w:after="283"/>
              <w:jc w:val="center"/>
              <w:rPr/>
            </w:pPr>
            <w:hyperlink w:anchor="S_EXPERTS">
              <w:r>
                <w:rPr>
                  <w:rStyle w:val="InternetLink"/>
                  <w:u w:val="single"/>
                </w:rPr>
                <w:t>S-14</w:t>
              </w:r>
            </w:hyperlink>
          </w:p>
        </w:tc>
      </w:tr>
      <w:tr>
        <w:trPr/>
        <w:tc>
          <w:tcPr>
            <w:tcW w:w="6230" w:type="dxa"/>
            <w:tcBorders/>
            <w:shd w:fill="FFFFFF" w:val="clear"/>
            <w:vAlign w:val="center"/>
          </w:tcPr>
          <w:p>
            <w:pPr>
              <w:pStyle w:val="TableContents"/>
              <w:bidi w:val="0"/>
              <w:spacing w:before="0" w:after="0"/>
              <w:ind w:left="0" w:right="0" w:hanging="0"/>
              <w:jc w:val="left"/>
              <w:rPr/>
            </w:pPr>
            <w:hyperlink w:anchor="S_MORE_INFO">
              <w:r>
                <w:rPr>
                  <w:rStyle w:val="InternetLink"/>
                  <w:rFonts w:ascii="Times New Roman" w:hAnsi="Times New Roman"/>
                  <w:caps w:val="false"/>
                  <w:smallCaps w:val="false"/>
                  <w:sz w:val="20"/>
                  <w:u w:val="single"/>
                </w:rPr>
                <w:t>WHERE YOU CAN FIND MORE INFORMATION</w:t>
              </w:r>
            </w:hyperlink>
          </w:p>
        </w:tc>
        <w:tc>
          <w:tcPr>
            <w:tcW w:w="470" w:type="dxa"/>
            <w:tcBorders/>
            <w:shd w:fill="FFFFFF" w:val="clear"/>
            <w:vAlign w:val="center"/>
          </w:tcPr>
          <w:p>
            <w:pPr>
              <w:pStyle w:val="TableContents"/>
              <w:bidi w:val="0"/>
              <w:spacing w:before="0" w:after="283"/>
              <w:jc w:val="center"/>
              <w:rPr/>
            </w:pPr>
            <w:hyperlink w:anchor="S_MORE_INFO">
              <w:r>
                <w:rPr>
                  <w:rStyle w:val="InternetLink"/>
                  <w:u w:val="single"/>
                </w:rPr>
                <w:t>S-14</w:t>
              </w:r>
            </w:hyperlink>
          </w:p>
        </w:tc>
      </w:tr>
      <w:tr>
        <w:trPr/>
        <w:tc>
          <w:tcPr>
            <w:tcW w:w="6230" w:type="dxa"/>
            <w:tcBorders/>
            <w:shd w:fill="CCEEFF" w:val="clear"/>
            <w:vAlign w:val="center"/>
          </w:tcPr>
          <w:p>
            <w:pPr>
              <w:pStyle w:val="TableContents"/>
              <w:bidi w:val="0"/>
              <w:spacing w:before="0" w:after="0"/>
              <w:ind w:left="0" w:right="0" w:hanging="0"/>
              <w:jc w:val="left"/>
              <w:rPr/>
            </w:pPr>
            <w:hyperlink w:anchor="S_INCORPORATION_BY_REFERENCE">
              <w:r>
                <w:rPr>
                  <w:rStyle w:val="InternetLink"/>
                  <w:rFonts w:ascii="Times New Roman" w:hAnsi="Times New Roman"/>
                  <w:caps w:val="false"/>
                  <w:smallCaps w:val="false"/>
                  <w:sz w:val="20"/>
                  <w:u w:val="single"/>
                </w:rPr>
                <w:t>INFORMATION INCORPORATED BY REFERENCE</w:t>
              </w:r>
            </w:hyperlink>
          </w:p>
        </w:tc>
        <w:tc>
          <w:tcPr>
            <w:tcW w:w="470" w:type="dxa"/>
            <w:tcBorders/>
            <w:shd w:fill="CCEEFF" w:val="clear"/>
            <w:vAlign w:val="center"/>
          </w:tcPr>
          <w:p>
            <w:pPr>
              <w:pStyle w:val="TableContents"/>
              <w:bidi w:val="0"/>
              <w:spacing w:before="0" w:after="283"/>
              <w:jc w:val="center"/>
              <w:rPr/>
            </w:pPr>
            <w:hyperlink w:anchor="S_INCORPORATION_BY_REFERENCE">
              <w:r>
                <w:rPr>
                  <w:rStyle w:val="InternetLink"/>
                  <w:u w:val="single"/>
                </w:rPr>
                <w:t>S-15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230"/>
        <w:gridCol w:w="38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ABOUT_PROSPECTUS">
              <w:r>
                <w:rPr>
                  <w:rStyle w:val="InternetLink"/>
                  <w:rFonts w:ascii="Times New Roman" w:hAnsi="Times New Roman"/>
                  <w:caps w:val="false"/>
                  <w:smallCaps w:val="false"/>
                  <w:sz w:val="20"/>
                  <w:u w:val="single"/>
                </w:rPr>
                <w:t>ABOUT THIS PROSPECTUS</w:t>
              </w:r>
            </w:hyperlink>
          </w:p>
        </w:tc>
        <w:tc>
          <w:tcPr>
            <w:tcW w:w="380" w:type="dxa"/>
            <w:tcBorders/>
            <w:shd w:fill="CCEEFF" w:val="clear"/>
            <w:vAlign w:val="center"/>
          </w:tcPr>
          <w:p>
            <w:pPr>
              <w:pStyle w:val="TableContents"/>
              <w:bidi w:val="0"/>
              <w:spacing w:before="0" w:after="283"/>
              <w:jc w:val="center"/>
              <w:rPr/>
            </w:pPr>
            <w:hyperlink w:anchor="ABOUT_PROSPECTUS">
              <w:r>
                <w:rPr>
                  <w:rStyle w:val="InternetLink"/>
                  <w:u w:val="single"/>
                </w:rPr>
                <w:t>1</w:t>
              </w:r>
            </w:hyperlink>
          </w:p>
        </w:tc>
      </w:tr>
      <w:tr>
        <w:trPr/>
        <w:tc>
          <w:tcPr>
            <w:tcW w:w="6230" w:type="dxa"/>
            <w:tcBorders/>
            <w:shd w:fill="FFFFFF" w:val="clear"/>
            <w:vAlign w:val="center"/>
          </w:tcPr>
          <w:p>
            <w:pPr>
              <w:pStyle w:val="TableContents"/>
              <w:bidi w:val="0"/>
              <w:spacing w:before="0" w:after="0"/>
              <w:ind w:left="0" w:right="0" w:hanging="0"/>
              <w:jc w:val="left"/>
              <w:rPr/>
            </w:pPr>
            <w:hyperlink w:anchor="CAUTIONARY_NOTE">
              <w:r>
                <w:rPr>
                  <w:rStyle w:val="InternetLink"/>
                  <w:rFonts w:ascii="Times New Roman" w:hAnsi="Times New Roman"/>
                  <w:caps w:val="false"/>
                  <w:smallCaps w:val="false"/>
                  <w:sz w:val="20"/>
                  <w:u w:val="single"/>
                </w:rPr>
                <w:t>CAUTIONARY NOTE REGARDING FORWARD-LOOKING STATEMENTS</w:t>
              </w:r>
            </w:hyperlink>
          </w:p>
        </w:tc>
        <w:tc>
          <w:tcPr>
            <w:tcW w:w="380" w:type="dxa"/>
            <w:tcBorders/>
            <w:shd w:fill="FFFFFF" w:val="clear"/>
            <w:vAlign w:val="center"/>
          </w:tcPr>
          <w:p>
            <w:pPr>
              <w:pStyle w:val="TableContents"/>
              <w:bidi w:val="0"/>
              <w:spacing w:before="0" w:after="283"/>
              <w:jc w:val="center"/>
              <w:rPr/>
            </w:pPr>
            <w:hyperlink w:anchor="CAUTIONARY_NOTE">
              <w:r>
                <w:rPr>
                  <w:rStyle w:val="InternetLink"/>
                  <w:u w:val="single"/>
                </w:rPr>
                <w:t>2</w:t>
              </w:r>
            </w:hyperlink>
          </w:p>
        </w:tc>
      </w:tr>
      <w:tr>
        <w:trPr/>
        <w:tc>
          <w:tcPr>
            <w:tcW w:w="6230" w:type="dxa"/>
            <w:tcBorders/>
            <w:shd w:fill="CCEEFF" w:val="clear"/>
            <w:vAlign w:val="center"/>
          </w:tcPr>
          <w:p>
            <w:pPr>
              <w:pStyle w:val="TableContents"/>
              <w:bidi w:val="0"/>
              <w:spacing w:before="0" w:after="0"/>
              <w:ind w:left="0" w:right="0" w:hanging="0"/>
              <w:jc w:val="left"/>
              <w:rPr/>
            </w:pPr>
            <w:hyperlink w:anchor="MARKET_DATA">
              <w:r>
                <w:rPr>
                  <w:rStyle w:val="InternetLink"/>
                  <w:rFonts w:ascii="Times New Roman" w:hAnsi="Times New Roman"/>
                  <w:caps w:val="false"/>
                  <w:smallCaps w:val="false"/>
                  <w:sz w:val="20"/>
                  <w:u w:val="single"/>
                </w:rPr>
                <w:t>MARKET AND INDUSTRY DATA</w:t>
              </w:r>
            </w:hyperlink>
          </w:p>
        </w:tc>
        <w:tc>
          <w:tcPr>
            <w:tcW w:w="380" w:type="dxa"/>
            <w:tcBorders/>
            <w:shd w:fill="CCEEFF" w:val="clear"/>
            <w:vAlign w:val="center"/>
          </w:tcPr>
          <w:p>
            <w:pPr>
              <w:pStyle w:val="TableContents"/>
              <w:bidi w:val="0"/>
              <w:spacing w:before="0" w:after="283"/>
              <w:jc w:val="center"/>
              <w:rPr/>
            </w:pPr>
            <w:hyperlink w:anchor="MARKET_DATA">
              <w:r>
                <w:rPr>
                  <w:rStyle w:val="InternetLink"/>
                  <w:u w:val="single"/>
                </w:rPr>
                <w:t>4</w:t>
              </w:r>
            </w:hyperlink>
          </w:p>
        </w:tc>
      </w:tr>
      <w:tr>
        <w:trPr/>
        <w:tc>
          <w:tcPr>
            <w:tcW w:w="6230" w:type="dxa"/>
            <w:tcBorders/>
            <w:shd w:fill="FFFFFF" w:val="clear"/>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u w:val="single"/>
                </w:rPr>
                <w:t>PROSPECTUS SUMMARY</w:t>
              </w:r>
            </w:hyperlink>
          </w:p>
        </w:tc>
        <w:tc>
          <w:tcPr>
            <w:tcW w:w="380" w:type="dxa"/>
            <w:tcBorders/>
            <w:shd w:fill="FFFFFF" w:val="clear"/>
            <w:vAlign w:val="center"/>
          </w:tcPr>
          <w:p>
            <w:pPr>
              <w:pStyle w:val="TableContents"/>
              <w:bidi w:val="0"/>
              <w:spacing w:before="0" w:after="283"/>
              <w:jc w:val="center"/>
              <w:rPr/>
            </w:pPr>
            <w:hyperlink w:anchor="SUMMARY">
              <w:r>
                <w:rPr>
                  <w:rStyle w:val="InternetLink"/>
                  <w:u w:val="single"/>
                </w:rPr>
                <w:t>5</w:t>
              </w:r>
            </w:hyperlink>
          </w:p>
        </w:tc>
      </w:tr>
      <w:tr>
        <w:trPr/>
        <w:tc>
          <w:tcPr>
            <w:tcW w:w="6230" w:type="dxa"/>
            <w:tcBorders/>
            <w:shd w:fill="CCEEFF" w:val="clear"/>
            <w:vAlign w:val="center"/>
          </w:tcPr>
          <w:p>
            <w:pPr>
              <w:pStyle w:val="TableContents"/>
              <w:bidi w:val="0"/>
              <w:spacing w:before="0" w:after="0"/>
              <w:ind w:left="0" w:right="0" w:hanging="0"/>
              <w:jc w:val="left"/>
              <w:rPr/>
            </w:pPr>
            <w:hyperlink w:anchor="RISK_FACTORS">
              <w:r>
                <w:rPr>
                  <w:rStyle w:val="InternetLink"/>
                  <w:rFonts w:ascii="Times New Roman" w:hAnsi="Times New Roman"/>
                  <w:caps w:val="false"/>
                  <w:smallCaps w:val="false"/>
                  <w:sz w:val="20"/>
                  <w:u w:val="single"/>
                </w:rPr>
                <w:t>RISK FACTORS</w:t>
              </w:r>
            </w:hyperlink>
          </w:p>
        </w:tc>
        <w:tc>
          <w:tcPr>
            <w:tcW w:w="380" w:type="dxa"/>
            <w:tcBorders/>
            <w:shd w:fill="CCEEFF" w:val="clear"/>
            <w:vAlign w:val="center"/>
          </w:tcPr>
          <w:p>
            <w:pPr>
              <w:pStyle w:val="TableContents"/>
              <w:bidi w:val="0"/>
              <w:spacing w:before="0" w:after="283"/>
              <w:jc w:val="center"/>
              <w:rPr/>
            </w:pPr>
            <w:hyperlink w:anchor="RISK_FACTORS">
              <w:r>
                <w:rPr>
                  <w:rStyle w:val="InternetLink"/>
                  <w:u w:val="single"/>
                </w:rPr>
                <w:t>9</w:t>
              </w:r>
            </w:hyperlink>
          </w:p>
        </w:tc>
      </w:tr>
      <w:tr>
        <w:trPr/>
        <w:tc>
          <w:tcPr>
            <w:tcW w:w="6230" w:type="dxa"/>
            <w:tcBorders/>
            <w:shd w:fill="FFFFFF" w:val="clear"/>
            <w:vAlign w:val="center"/>
          </w:tcPr>
          <w:p>
            <w:pPr>
              <w:pStyle w:val="TableContents"/>
              <w:bidi w:val="0"/>
              <w:spacing w:before="0" w:after="0"/>
              <w:ind w:left="0" w:right="0" w:hanging="0"/>
              <w:jc w:val="left"/>
              <w:rPr/>
            </w:pPr>
            <w:hyperlink w:anchor="PROCEEDS">
              <w:r>
                <w:rPr>
                  <w:rStyle w:val="InternetLink"/>
                  <w:rFonts w:ascii="Times New Roman" w:hAnsi="Times New Roman"/>
                  <w:caps w:val="false"/>
                  <w:smallCaps w:val="false"/>
                  <w:sz w:val="20"/>
                  <w:u w:val="single"/>
                </w:rPr>
                <w:t>USE OF PROCEEDS</w:t>
              </w:r>
            </w:hyperlink>
          </w:p>
        </w:tc>
        <w:tc>
          <w:tcPr>
            <w:tcW w:w="380" w:type="dxa"/>
            <w:tcBorders/>
            <w:shd w:fill="FFFFFF" w:val="clear"/>
            <w:vAlign w:val="center"/>
          </w:tcPr>
          <w:p>
            <w:pPr>
              <w:pStyle w:val="TableContents"/>
              <w:bidi w:val="0"/>
              <w:spacing w:before="0" w:after="283"/>
              <w:jc w:val="center"/>
              <w:rPr/>
            </w:pPr>
            <w:hyperlink w:anchor="PROCEEDS">
              <w:r>
                <w:rPr>
                  <w:rStyle w:val="InternetLink"/>
                  <w:u w:val="single"/>
                </w:rPr>
                <w:t>10</w:t>
              </w:r>
            </w:hyperlink>
          </w:p>
        </w:tc>
      </w:tr>
      <w:tr>
        <w:trPr/>
        <w:tc>
          <w:tcPr>
            <w:tcW w:w="6230" w:type="dxa"/>
            <w:tcBorders/>
            <w:shd w:fill="CCEEFF" w:val="clear"/>
            <w:vAlign w:val="center"/>
          </w:tcPr>
          <w:p>
            <w:pPr>
              <w:pStyle w:val="TableContents"/>
              <w:bidi w:val="0"/>
              <w:spacing w:before="0" w:after="0"/>
              <w:ind w:left="0" w:right="0" w:hanging="0"/>
              <w:jc w:val="left"/>
              <w:rPr/>
            </w:pPr>
            <w:hyperlink w:anchor="CAPITAL_STOCK">
              <w:r>
                <w:rPr>
                  <w:rStyle w:val="InternetLink"/>
                  <w:rFonts w:ascii="Times New Roman" w:hAnsi="Times New Roman"/>
                  <w:caps w:val="false"/>
                  <w:smallCaps w:val="false"/>
                  <w:sz w:val="20"/>
                  <w:u w:val="single"/>
                </w:rPr>
                <w:t>DESCRIPTION OF CAPITAL STOCK</w:t>
              </w:r>
            </w:hyperlink>
          </w:p>
        </w:tc>
        <w:tc>
          <w:tcPr>
            <w:tcW w:w="380" w:type="dxa"/>
            <w:tcBorders/>
            <w:shd w:fill="CCEEFF" w:val="clear"/>
            <w:vAlign w:val="center"/>
          </w:tcPr>
          <w:p>
            <w:pPr>
              <w:pStyle w:val="TableContents"/>
              <w:bidi w:val="0"/>
              <w:spacing w:before="0" w:after="283"/>
              <w:jc w:val="center"/>
              <w:rPr/>
            </w:pPr>
            <w:hyperlink w:anchor="CAPITAL_STOCK">
              <w:r>
                <w:rPr>
                  <w:rStyle w:val="InternetLink"/>
                  <w:u w:val="single"/>
                </w:rPr>
                <w:t>11</w:t>
              </w:r>
            </w:hyperlink>
          </w:p>
        </w:tc>
      </w:tr>
      <w:tr>
        <w:trPr/>
        <w:tc>
          <w:tcPr>
            <w:tcW w:w="6230" w:type="dxa"/>
            <w:tcBorders/>
            <w:shd w:fill="FFFFFF" w:val="clear"/>
            <w:vAlign w:val="center"/>
          </w:tcPr>
          <w:p>
            <w:pPr>
              <w:pStyle w:val="TableContents"/>
              <w:bidi w:val="0"/>
              <w:spacing w:before="0" w:after="0"/>
              <w:ind w:left="0" w:right="0" w:hanging="0"/>
              <w:jc w:val="left"/>
              <w:rPr/>
            </w:pPr>
            <w:hyperlink w:anchor="DEBT_SECURITIES">
              <w:r>
                <w:rPr>
                  <w:rStyle w:val="InternetLink"/>
                  <w:rFonts w:ascii="Times New Roman" w:hAnsi="Times New Roman"/>
                  <w:caps w:val="false"/>
                  <w:smallCaps w:val="false"/>
                  <w:sz w:val="20"/>
                  <w:u w:val="single"/>
                </w:rPr>
                <w:t>DESCRIPTION OF DEBT SECURITIES</w:t>
              </w:r>
            </w:hyperlink>
          </w:p>
        </w:tc>
        <w:tc>
          <w:tcPr>
            <w:tcW w:w="380" w:type="dxa"/>
            <w:tcBorders/>
            <w:shd w:fill="FFFFFF" w:val="clear"/>
            <w:vAlign w:val="center"/>
          </w:tcPr>
          <w:p>
            <w:pPr>
              <w:pStyle w:val="TableContents"/>
              <w:bidi w:val="0"/>
              <w:spacing w:before="0" w:after="283"/>
              <w:jc w:val="center"/>
              <w:rPr/>
            </w:pPr>
            <w:hyperlink w:anchor="DEBT_SECURITIES">
              <w:r>
                <w:rPr>
                  <w:rStyle w:val="InternetLink"/>
                  <w:u w:val="single"/>
                </w:rPr>
                <w:t>16</w:t>
              </w:r>
            </w:hyperlink>
          </w:p>
        </w:tc>
      </w:tr>
      <w:tr>
        <w:trPr/>
        <w:tc>
          <w:tcPr>
            <w:tcW w:w="6230" w:type="dxa"/>
            <w:tcBorders/>
            <w:shd w:fill="CCEEFF" w:val="clear"/>
            <w:vAlign w:val="center"/>
          </w:tcPr>
          <w:p>
            <w:pPr>
              <w:pStyle w:val="TableContents"/>
              <w:bidi w:val="0"/>
              <w:spacing w:before="0" w:after="0"/>
              <w:ind w:left="0" w:right="0" w:hanging="0"/>
              <w:jc w:val="left"/>
              <w:rPr/>
            </w:pPr>
            <w:hyperlink w:anchor="WARRANTS">
              <w:r>
                <w:rPr>
                  <w:rStyle w:val="InternetLink"/>
                  <w:rFonts w:ascii="Times New Roman" w:hAnsi="Times New Roman"/>
                  <w:caps w:val="false"/>
                  <w:smallCaps w:val="false"/>
                  <w:sz w:val="20"/>
                  <w:u w:val="single"/>
                </w:rPr>
                <w:t>DESCRIPTION OF WARRANTS</w:t>
              </w:r>
            </w:hyperlink>
          </w:p>
        </w:tc>
        <w:tc>
          <w:tcPr>
            <w:tcW w:w="380" w:type="dxa"/>
            <w:tcBorders/>
            <w:shd w:fill="CCEEFF" w:val="clear"/>
            <w:vAlign w:val="center"/>
          </w:tcPr>
          <w:p>
            <w:pPr>
              <w:pStyle w:val="TableContents"/>
              <w:bidi w:val="0"/>
              <w:spacing w:before="0" w:after="283"/>
              <w:jc w:val="center"/>
              <w:rPr/>
            </w:pPr>
            <w:hyperlink w:anchor="WARRANTS">
              <w:r>
                <w:rPr>
                  <w:rStyle w:val="InternetLink"/>
                  <w:u w:val="single"/>
                </w:rPr>
                <w:t>22</w:t>
              </w:r>
            </w:hyperlink>
          </w:p>
        </w:tc>
      </w:tr>
      <w:tr>
        <w:trPr/>
        <w:tc>
          <w:tcPr>
            <w:tcW w:w="6230" w:type="dxa"/>
            <w:tcBorders/>
            <w:shd w:fill="FFFFFF" w:val="clear"/>
            <w:vAlign w:val="center"/>
          </w:tcPr>
          <w:p>
            <w:pPr>
              <w:pStyle w:val="TableContents"/>
              <w:bidi w:val="0"/>
              <w:spacing w:before="0" w:after="0"/>
              <w:ind w:left="0" w:right="0" w:hanging="0"/>
              <w:jc w:val="left"/>
              <w:rPr/>
            </w:pPr>
            <w:hyperlink w:anchor="UNITS">
              <w:r>
                <w:rPr>
                  <w:rStyle w:val="InternetLink"/>
                  <w:rFonts w:ascii="Times New Roman" w:hAnsi="Times New Roman"/>
                  <w:caps w:val="false"/>
                  <w:smallCaps w:val="false"/>
                  <w:sz w:val="20"/>
                  <w:u w:val="single"/>
                </w:rPr>
                <w:t>DESCRIPTION OF UNITS</w:t>
              </w:r>
            </w:hyperlink>
          </w:p>
        </w:tc>
        <w:tc>
          <w:tcPr>
            <w:tcW w:w="380" w:type="dxa"/>
            <w:tcBorders/>
            <w:shd w:fill="FFFFFF" w:val="clear"/>
            <w:vAlign w:val="center"/>
          </w:tcPr>
          <w:p>
            <w:pPr>
              <w:pStyle w:val="TableContents"/>
              <w:bidi w:val="0"/>
              <w:spacing w:before="0" w:after="283"/>
              <w:jc w:val="center"/>
              <w:rPr/>
            </w:pPr>
            <w:hyperlink w:anchor="UNITS">
              <w:r>
                <w:rPr>
                  <w:rStyle w:val="InternetLink"/>
                  <w:u w:val="single"/>
                </w:rPr>
                <w:t>23</w:t>
              </w:r>
            </w:hyperlink>
          </w:p>
        </w:tc>
      </w:tr>
      <w:tr>
        <w:trPr/>
        <w:tc>
          <w:tcPr>
            <w:tcW w:w="6230" w:type="dxa"/>
            <w:tcBorders/>
            <w:shd w:fill="CCEEFF" w:val="clear"/>
            <w:vAlign w:val="center"/>
          </w:tcPr>
          <w:p>
            <w:pPr>
              <w:pStyle w:val="TableContents"/>
              <w:bidi w:val="0"/>
              <w:spacing w:before="0" w:after="0"/>
              <w:ind w:left="0" w:right="0" w:hanging="0"/>
              <w:jc w:val="left"/>
              <w:rPr/>
            </w:pPr>
            <w:hyperlink w:anchor="DISTRIBUTION">
              <w:r>
                <w:rPr>
                  <w:rStyle w:val="InternetLink"/>
                  <w:rFonts w:ascii="Times New Roman" w:hAnsi="Times New Roman"/>
                  <w:caps w:val="false"/>
                  <w:smallCaps w:val="false"/>
                  <w:sz w:val="20"/>
                  <w:u w:val="single"/>
                </w:rPr>
                <w:t>PLAN OF DISTRIBUTION</w:t>
              </w:r>
            </w:hyperlink>
          </w:p>
        </w:tc>
        <w:tc>
          <w:tcPr>
            <w:tcW w:w="380" w:type="dxa"/>
            <w:tcBorders/>
            <w:shd w:fill="CCEEFF" w:val="clear"/>
            <w:vAlign w:val="center"/>
          </w:tcPr>
          <w:p>
            <w:pPr>
              <w:pStyle w:val="TableContents"/>
              <w:bidi w:val="0"/>
              <w:spacing w:before="0" w:after="283"/>
              <w:jc w:val="center"/>
              <w:rPr/>
            </w:pPr>
            <w:hyperlink w:anchor="DISTRIBUTION">
              <w:r>
                <w:rPr>
                  <w:rStyle w:val="InternetLink"/>
                  <w:u w:val="single"/>
                </w:rPr>
                <w:t>24</w:t>
              </w:r>
            </w:hyperlink>
          </w:p>
        </w:tc>
      </w:tr>
      <w:tr>
        <w:trPr/>
        <w:tc>
          <w:tcPr>
            <w:tcW w:w="623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MATTERS</w:t>
              </w:r>
            </w:hyperlink>
          </w:p>
        </w:tc>
        <w:tc>
          <w:tcPr>
            <w:tcW w:w="380" w:type="dxa"/>
            <w:tcBorders/>
            <w:shd w:fill="FFFFFF" w:val="clear"/>
            <w:vAlign w:val="center"/>
          </w:tcPr>
          <w:p>
            <w:pPr>
              <w:pStyle w:val="TableContents"/>
              <w:bidi w:val="0"/>
              <w:spacing w:before="0" w:after="283"/>
              <w:jc w:val="center"/>
              <w:rPr/>
            </w:pPr>
            <w:hyperlink w:anchor="LEGAL">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380" w:type="dxa"/>
            <w:tcBorders/>
            <w:shd w:fill="CCEEFF" w:val="clear"/>
            <w:vAlign w:val="center"/>
          </w:tcPr>
          <w:p>
            <w:pPr>
              <w:pStyle w:val="TableContents"/>
              <w:bidi w:val="0"/>
              <w:spacing w:before="0" w:after="283"/>
              <w:jc w:val="center"/>
              <w:rPr/>
            </w:pPr>
            <w:hyperlink w:anchor="EXPERTS">
              <w:r>
                <w:rPr>
                  <w:rStyle w:val="InternetLink"/>
                  <w:u w:val="single"/>
                </w:rPr>
                <w:t>26</w:t>
              </w:r>
            </w:hyperlink>
          </w:p>
        </w:tc>
      </w:tr>
      <w:tr>
        <w:trPr/>
        <w:tc>
          <w:tcPr>
            <w:tcW w:w="6230" w:type="dxa"/>
            <w:tcBorders/>
            <w:shd w:fill="FFFFFF" w:val="clear"/>
            <w:vAlign w:val="center"/>
          </w:tcPr>
          <w:p>
            <w:pPr>
              <w:pStyle w:val="TableContents"/>
              <w:bidi w:val="0"/>
              <w:spacing w:before="0" w:after="0"/>
              <w:ind w:left="0" w:right="0" w:hanging="0"/>
              <w:jc w:val="left"/>
              <w:rPr/>
            </w:pPr>
            <w:hyperlink w:anchor="MORE_INFO">
              <w:r>
                <w:rPr>
                  <w:rStyle w:val="InternetLink"/>
                  <w:rFonts w:ascii="Times New Roman" w:hAnsi="Times New Roman"/>
                  <w:caps w:val="false"/>
                  <w:smallCaps w:val="false"/>
                  <w:sz w:val="20"/>
                  <w:u w:val="single"/>
                </w:rPr>
                <w:t>WHERE YOU CAN FIND MORE INFORMATION</w:t>
              </w:r>
            </w:hyperlink>
          </w:p>
        </w:tc>
        <w:tc>
          <w:tcPr>
            <w:tcW w:w="380" w:type="dxa"/>
            <w:tcBorders/>
            <w:shd w:fill="FFFFFF" w:val="clear"/>
            <w:vAlign w:val="center"/>
          </w:tcPr>
          <w:p>
            <w:pPr>
              <w:pStyle w:val="TableContents"/>
              <w:bidi w:val="0"/>
              <w:spacing w:before="0" w:after="283"/>
              <w:jc w:val="center"/>
              <w:rPr/>
            </w:pPr>
            <w:hyperlink w:anchor="MORE_INFO">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INCORPORATION_BY_REFERENCE">
              <w:r>
                <w:rPr>
                  <w:rStyle w:val="InternetLink"/>
                  <w:rFonts w:ascii="Times New Roman" w:hAnsi="Times New Roman"/>
                  <w:caps w:val="false"/>
                  <w:smallCaps w:val="false"/>
                  <w:sz w:val="20"/>
                  <w:u w:val="single"/>
                </w:rPr>
                <w:t>INFORMATION INCORPORATED BY REFERENCE</w:t>
              </w:r>
            </w:hyperlink>
          </w:p>
        </w:tc>
        <w:tc>
          <w:tcPr>
            <w:tcW w:w="380" w:type="dxa"/>
            <w:tcBorders/>
            <w:shd w:fill="CCEEFF" w:val="clear"/>
            <w:vAlign w:val="center"/>
          </w:tcPr>
          <w:p>
            <w:pPr>
              <w:pStyle w:val="TableContents"/>
              <w:bidi w:val="0"/>
              <w:spacing w:before="0" w:after="283"/>
              <w:jc w:val="center"/>
              <w:rPr/>
            </w:pPr>
            <w:hyperlink w:anchor="INCORPORATION_BY_REFERENCE">
              <w:r>
                <w:rPr>
                  <w:rStyle w:val="InternetLink"/>
                  <w:u w:val="single"/>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3" w:name="S_ABOUT_PROSPECTUS"/>
      <w:bookmarkEnd w:id="13"/>
      <w:r>
        <w:rPr>
          <w:rFonts w:ascii="Times New Roman;Times;serif" w:hAnsi="Times New Roman;Times;serif"/>
          <w:b/>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is part of a Registration Statement on Form S-3 (the “Registration Statement”) that we filed with the U.S. Securities and Exchange Commission (“SEC”) using the “shelf” registration process. By using a shelf registration statement, we may offer and sell securities having an aggregate offering price of up to $160,000,000 from time to time under the Registration Statement at prices and on terms to be determined by market conditions at the time of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provides you with a description of the offering. You should read this prospectus supplement together with the additional information to which we refer you in the section of this prospectus supplement titled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together with the information incorporated by reference as described in the section of this prospectus supplement titled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provide information to you about this offering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and the information contained in any document incorporated by reference in this prospectus supplement,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supplement. We have not authorized anyone to provide you with any information or to make any representations other than those contained in this prospectus supplement. We do not take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supplement is accurate only as of the date on the front cover of this prospectus supplement. Our business, financial condition, results of operations and prospects may have changed since that date.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done anything that would permit this offering or possession or distribution of this prospectus supplement in any jurisdiction where action for that purpose is required, other than the United States. Persons outside of the United States who come into possession of this prospectus supplement must inform themselves about, and observe any restrictions relating to, the offering of securities and the distribution of this prospectus supplement outside of the United States.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supplement, together with information incorporated by reference herein, before deciding whether to invest in the securities being offered.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contain summaries of certain provisions contained in some of the documents described herein or therein, but reference is made to the actual documents for complete information. All of the summaries are qualified in their entirety by the actual documents. Copies of some of the documents referred to herein or therein have been filed, will be filed or will be incorporated by reference as exhibits to the registration statement of which this prospectus supplement is a part, and you may obtain copies of those documents as described under “Where You Can Find More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We use various trademarks and trade names in our business, including without limitation our corporate name and logo. All other trademarks or trade names referred to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4" w:name="S_CAUTIONARY_NOTE"/>
      <w:bookmarkEnd w:id="14"/>
      <w:r>
        <w:rPr>
          <w:rFonts w:ascii="Times New Roman;Times;serif" w:hAnsi="Times New Roman;Times;serif"/>
          <w:b/>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of 1933, as amended (the “Securities Act”). Certain statements in this prospectus supplement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supplement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financial performance, including our ability to continue as a going concern;</w:t>
            </w:r>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strategies to raise additional funding;</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results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likelihood of commercial success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strategies to obtain and maintain regulatory approvals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and growth potential of the markets for our drug candidates, and our ability to serve those markets, either alone or in combination with others;</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market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expansion plans and opportunities;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factors detailed under “Risk Factors” in our most recent Annual Report on Form 10-K and any subsequent Quarterly Reports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forward-looking statements represent our views as of the date of this prospectus supplement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substantial dependence on the successful commercialization of our drug candidates, if approved,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significant net losses and net operating cash outflows;</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demonstrate the efficacy and safety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results for our drug candidates, which may not support further development or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actions of regulatory agencies, which may affect the initiation, timing, and progress of clinical trials and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achieve commercial success for our drug candidates, if approved;</w:t>
            </w:r>
          </w:p>
        </w:tc>
      </w:tr>
    </w:tbl>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protection of intellectual property for our technology and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third parties to conduct research, drug development, and other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operating history and our ability to obtain additional funding for operations and to complete the licensing or development and commercialization of our drug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any future epidemics, pandemics or conflicts;</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applicable laws or regulations;</w:t>
            </w:r>
          </w:p>
        </w:tc>
      </w:tr>
    </w:tbl>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inflation;</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staffing and materials shortages;</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that we may be adversely affected by other economic, business, and/or competitive factors;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set forth in “Risk Factors” in our most recent Annual Report on Form 10-K and any subsequent Quarterly Reports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5" w:name="S_MARKET_DATA"/>
      <w:bookmarkEnd w:id="15"/>
      <w:r>
        <w:rPr>
          <w:rFonts w:ascii="Times New Roman;Times;serif" w:hAnsi="Times New Roman;Times;serif"/>
          <w:b/>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supplement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is reliable and based on reasonable assumptions, such data involve material risks and other uncertainties and are subject to change based on various factors, including those discussed in “</w:t>
      </w:r>
      <w:r>
        <w:rPr>
          <w:rFonts w:ascii="Times New Roman" w:hAnsi="Times New Roman"/>
          <w:i/>
          <w:caps w:val="false"/>
          <w:smallCaps w:val="false"/>
          <w:sz w:val="20"/>
        </w:rPr>
        <w:t>Risk Factors</w:t>
      </w:r>
      <w:r>
        <w:rPr>
          <w:rFonts w:ascii="Times New Roman" w:hAnsi="Times New Roman"/>
          <w:caps w:val="false"/>
          <w:smallCaps w:val="false"/>
          <w:sz w:val="20"/>
        </w:rPr>
        <w:t>.” These and other factors could cause results to differ materially from those expressed in the estimates made by the independent parties or by 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6" w:name="S_SUMMARY"/>
      <w:bookmarkEnd w:id="16"/>
      <w:r>
        <w:rPr>
          <w:rFonts w:ascii="Times New Roman;Times;serif" w:hAnsi="Times New Roman;Times;serif"/>
          <w:b/>
          <w:sz w:val="20"/>
        </w:rPr>
        <w:t>PROSPECTUS SUPPLEMENT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This summary highlights selected information from this prospectus supplement and does not contain all of the information that is important to you in making an investment decision. This summary is qualified in its entirety by the more detailed information included elsewhere in this prospectus supplement. Before making your investment decision with respect to our securities, you should carefully read this entire prospectus supplement, the accompanying base prospectus, and the information incorporated herein and therein by reference. Unless the context otherwise requires, references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the Company,</w:t>
      </w:r>
      <w:r>
        <w:rPr>
          <w:rFonts w:ascii="Times New Roman" w:hAnsi="Times New Roman"/>
          <w:caps w:val="false"/>
          <w:smallCaps w:val="false"/>
          <w:sz w:val="20"/>
        </w:rPr>
        <w:t>” “</w:t>
      </w:r>
      <w:r>
        <w:rPr>
          <w:rFonts w:ascii="Times New Roman" w:hAnsi="Times New Roman"/>
          <w:i/>
          <w:caps w:val="false"/>
          <w:smallCaps w:val="false"/>
          <w:sz w:val="20"/>
        </w:rPr>
        <w:t>Clene,</w:t>
      </w:r>
      <w:r>
        <w:rPr>
          <w:rFonts w:ascii="Times New Roman" w:hAnsi="Times New Roman"/>
          <w:caps w:val="false"/>
          <w:smallCaps w:val="false"/>
          <w:sz w:val="20"/>
        </w:rPr>
        <w:t xml:space="preserve">” </w:t>
      </w:r>
      <w:r>
        <w:rPr>
          <w:rFonts w:ascii="Times New Roman" w:hAnsi="Times New Roman"/>
          <w:i/>
          <w:caps w:val="false"/>
          <w:smallCaps w:val="false"/>
          <w:sz w:val="20"/>
        </w:rPr>
        <w:t>and similar designations are intended to mean the business and operations of Clene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clinical-stage pharmaceutical company pioneering the discovery, development, and commercialization of novel clean-surfaced nanotechnology (“CSN®”) therapeutics. CSN®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 owned subsidiary, dOrbital, Inc., or through an exclusive license with 4Life Research LLC (“4Life”), an international supplier of health supplements, stockholder, and related party. We anticipate these revenues to be small compared to our operating expenses and to the revenue we expect to generate from potential future sales of our drug candidates, for which we are currently conducting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Developments of Our Clinical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Amyotrophic Lateral Sclerosis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August 2026, we announced the results from new biomarker analyses examining clinical outcomes among CNM-Au8®-treated patients in our two completed Phase 2 ALS trials. Patients whose neurofilament light chain (“NfL”) biomarker levels declined or stabilized lived significantly longer than concurrently randomized controls and had significantly better outcomes on combined measures of survival and function, including daily function (ALSFRS-R) and breathing capacity (Slow Vital Capacity), than concurrently randomized controls. These post hoc exploratory findings will be included in our planned new drug application (“NDA”) seeking accelerated approval and are intended to address the questions raised by the U.S. Food and Drug Administration (“FDA”) during a March 2026 Type C meeting. At that meeting, the FDA acknowledged that NfL, a recognized blood marker of nerve-cell injury, has established prognostic value in ALS and could potentially serve as a reasonably likely surrogate endpoint to support accelerated approval.</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intend to submit our NDA in early fourth quarter of 2026, which will remain a matter of FDA review. The planned NDA submission will be supported by NfL biomarker and clinical data from the Phase 2 HEALEY ALS Platform Trial and its open-label extension, as well as the Phase 2 RESCUE-ALS Trial, and the National Institutes of Health-sponsored expanded access protocol for CNM-Au8. We plan to initiate a Phase 3 RESTORE-ALS trial during the second quarter of 2027, which will serve as the post-approval confirmatory study.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Multiple Sclerosis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met with the FDA in a Type B end of Phase 2 meeting during the third quarter of 2025 to review results from the Phase 2 VISIONARY-MS trial and discuss a planned Phase 3 study focusing on cognition improvement as an adjunct to standard-of-care MS therapies, addressing a critical unmet medical need for people struggling with MS. The FDA aligned with the Company acknowledging the limitations of the Expanded Disability Status Scale, a global measure of MS disease severity, and expressed openness to considering other potential primary endpoints, including cognition, to evaluate broader treatment effects. We plan to work closely with regulatory health authorities from the FDA, European Medicines Agency and other international regulatory bodies, MS experts, and patient representatives to determine the proper path to advance CNM-Au8 into Phase 3 and potential future approval. We also believe that once CNM-Au8 receives regulatory approval in another indication, licensing opportunities for the MS indication will improve.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chart below reflects the growing body of evidence for CSN therapeutics from our completed and ongoing clinical programs.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jc w:val="center"/>
        <w:rPr/>
      </w:pPr>
      <w:r>
        <w:rPr/>
        <w:drawing>
          <wp:inline distT="0" distB="0" distL="0" distR="0">
            <wp:extent cx="9296400" cy="377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96400" cy="3771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incurred a loss from operations of </w:t>
      </w:r>
      <w:bookmarkStart w:id="17" w:name="led401376F20248261727317363690"/>
      <w:bookmarkEnd w:id="17"/>
      <w:r>
        <w:rPr>
          <w:rFonts w:ascii="Times New Roman" w:hAnsi="Times New Roman"/>
          <w:caps w:val="false"/>
          <w:smallCaps w:val="false"/>
          <w:sz w:val="20"/>
        </w:rPr>
        <w:t>$5.3 million and </w:t>
      </w:r>
      <w:bookmarkStart w:id="18" w:name="led401376F20248261727317371964"/>
      <w:bookmarkEnd w:id="18"/>
      <w:r>
        <w:rPr>
          <w:rFonts w:ascii="Times New Roman" w:hAnsi="Times New Roman"/>
          <w:caps w:val="false"/>
          <w:smallCaps w:val="false"/>
          <w:sz w:val="20"/>
        </w:rPr>
        <w:t xml:space="preserve">$5.9 million for the </w:t>
      </w:r>
      <w:bookmarkStart w:id="19" w:name="led401376F202511311767145463754"/>
      <w:bookmarkEnd w:id="19"/>
      <w:r>
        <w:rPr>
          <w:rFonts w:ascii="Times New Roman" w:hAnsi="Times New Roman"/>
          <w:caps w:val="false"/>
          <w:smallCaps w:val="false"/>
          <w:sz w:val="20"/>
        </w:rPr>
        <w:t>three months ended June 30, </w:t>
      </w:r>
      <w:bookmarkStart w:id="20" w:name="led401376F20248261727317410728"/>
      <w:bookmarkEnd w:id="20"/>
      <w:r>
        <w:rPr>
          <w:rFonts w:ascii="Times New Roman" w:hAnsi="Times New Roman"/>
          <w:caps w:val="false"/>
          <w:smallCaps w:val="false"/>
          <w:sz w:val="20"/>
        </w:rPr>
        <w:t xml:space="preserve">2026 and </w:t>
      </w:r>
      <w:bookmarkStart w:id="21" w:name="led401376F20248261727317416473"/>
      <w:bookmarkEnd w:id="21"/>
      <w:r>
        <w:rPr>
          <w:rFonts w:ascii="Times New Roman" w:hAnsi="Times New Roman"/>
          <w:caps w:val="false"/>
          <w:smallCaps w:val="false"/>
          <w:sz w:val="20"/>
        </w:rPr>
        <w:t xml:space="preserve">2025, respectively; and </w:t>
      </w:r>
      <w:bookmarkStart w:id="22" w:name="led401376F20248261727317434681"/>
      <w:bookmarkEnd w:id="22"/>
      <w:r>
        <w:rPr>
          <w:rFonts w:ascii="Times New Roman" w:hAnsi="Times New Roman"/>
          <w:caps w:val="false"/>
          <w:smallCaps w:val="false"/>
          <w:sz w:val="20"/>
        </w:rPr>
        <w:t>$7.4 million and </w:t>
      </w:r>
      <w:bookmarkStart w:id="23" w:name="led401376F20248261727317443674"/>
      <w:bookmarkEnd w:id="23"/>
      <w:r>
        <w:rPr>
          <w:rFonts w:ascii="Times New Roman" w:hAnsi="Times New Roman"/>
          <w:caps w:val="false"/>
          <w:smallCaps w:val="false"/>
          <w:sz w:val="20"/>
        </w:rPr>
        <w:t>$9.9 million for the </w:t>
      </w:r>
      <w:bookmarkStart w:id="24" w:name="led401376F202511311767145475281"/>
      <w:bookmarkEnd w:id="24"/>
      <w:r>
        <w:rPr>
          <w:rFonts w:ascii="Times New Roman" w:hAnsi="Times New Roman"/>
          <w:caps w:val="false"/>
          <w:smallCaps w:val="false"/>
          <w:sz w:val="20"/>
        </w:rPr>
        <w:t>six months ended June 30, </w:t>
      </w:r>
      <w:bookmarkStart w:id="25" w:name="led401376F20248261727317459701"/>
      <w:bookmarkEnd w:id="25"/>
      <w:r>
        <w:rPr>
          <w:rFonts w:ascii="Times New Roman" w:hAnsi="Times New Roman"/>
          <w:caps w:val="false"/>
          <w:smallCaps w:val="false"/>
          <w:sz w:val="20"/>
        </w:rPr>
        <w:t xml:space="preserve">2026 and </w:t>
      </w:r>
      <w:bookmarkStart w:id="26" w:name="led401376F20248261727317464771"/>
      <w:bookmarkEnd w:id="26"/>
      <w:r>
        <w:rPr>
          <w:rFonts w:ascii="Times New Roman" w:hAnsi="Times New Roman"/>
          <w:caps w:val="false"/>
          <w:smallCaps w:val="false"/>
          <w:sz w:val="20"/>
        </w:rPr>
        <w:t>2025, respectively. Our accumulated deficit was </w:t>
      </w:r>
      <w:bookmarkStart w:id="27" w:name="led401376F20248261727317475816"/>
      <w:bookmarkEnd w:id="27"/>
      <w:r>
        <w:rPr>
          <w:rFonts w:ascii="Times New Roman" w:hAnsi="Times New Roman"/>
          <w:caps w:val="false"/>
          <w:smallCaps w:val="false"/>
          <w:sz w:val="20"/>
        </w:rPr>
        <w:t>$329.8 million and </w:t>
      </w:r>
      <w:bookmarkStart w:id="28" w:name="led401376F20248261727317480946"/>
      <w:bookmarkEnd w:id="28"/>
      <w:r>
        <w:rPr>
          <w:rFonts w:ascii="Times New Roman" w:hAnsi="Times New Roman"/>
          <w:caps w:val="false"/>
          <w:smallCaps w:val="false"/>
          <w:sz w:val="20"/>
        </w:rPr>
        <w:t>$308.3 million as of </w:t>
      </w:r>
      <w:bookmarkStart w:id="29" w:name="led401376F20248261727317487773"/>
      <w:bookmarkEnd w:id="29"/>
      <w:r>
        <w:rPr>
          <w:rFonts w:ascii="Times New Roman" w:hAnsi="Times New Roman"/>
          <w:caps w:val="false"/>
          <w:smallCaps w:val="false"/>
          <w:sz w:val="20"/>
        </w:rPr>
        <w:t xml:space="preserve">June 30, 2026 and </w:t>
      </w:r>
      <w:bookmarkStart w:id="30" w:name="led401376F20248261727317492763"/>
      <w:bookmarkEnd w:id="30"/>
      <w:r>
        <w:rPr>
          <w:rFonts w:ascii="Times New Roman" w:hAnsi="Times New Roman"/>
          <w:caps w:val="false"/>
          <w:smallCaps w:val="false"/>
          <w:sz w:val="20"/>
        </w:rPr>
        <w:t>December 31, 2025, respectively. Our cash and cash equivalents totaled </w:t>
      </w:r>
      <w:bookmarkStart w:id="31" w:name="led401376F20248261727317523603"/>
      <w:bookmarkEnd w:id="31"/>
      <w:r>
        <w:rPr>
          <w:rFonts w:ascii="Times New Roman" w:hAnsi="Times New Roman"/>
          <w:caps w:val="false"/>
          <w:smallCaps w:val="false"/>
          <w:sz w:val="20"/>
        </w:rPr>
        <w:t>$9.7 million and </w:t>
      </w:r>
      <w:bookmarkStart w:id="32" w:name="led401376F20248261727317513356"/>
      <w:bookmarkEnd w:id="32"/>
      <w:r>
        <w:rPr>
          <w:rFonts w:ascii="Times New Roman" w:hAnsi="Times New Roman"/>
          <w:caps w:val="false"/>
          <w:smallCaps w:val="false"/>
          <w:sz w:val="20"/>
        </w:rPr>
        <w:t>$5.2 million as of </w:t>
      </w:r>
      <w:bookmarkStart w:id="33" w:name="led401376F20248261727317528890"/>
      <w:bookmarkEnd w:id="33"/>
      <w:r>
        <w:rPr>
          <w:rFonts w:ascii="Times New Roman" w:hAnsi="Times New Roman"/>
          <w:caps w:val="false"/>
          <w:smallCaps w:val="false"/>
          <w:sz w:val="20"/>
        </w:rPr>
        <w:t xml:space="preserve">June 30, 2026 and </w:t>
      </w:r>
      <w:bookmarkStart w:id="34" w:name="led401376F20248261727317537911"/>
      <w:bookmarkEnd w:id="34"/>
      <w:r>
        <w:rPr>
          <w:rFonts w:ascii="Times New Roman" w:hAnsi="Times New Roman"/>
          <w:caps w:val="false"/>
          <w:smallCaps w:val="false"/>
          <w:sz w:val="20"/>
        </w:rPr>
        <w:t>December 31, 2025, respectively, and net cash used in operating activities was </w:t>
      </w:r>
      <w:bookmarkStart w:id="35" w:name="led401376F20248261727317546222"/>
      <w:bookmarkEnd w:id="35"/>
      <w:r>
        <w:rPr>
          <w:rFonts w:ascii="Times New Roman" w:hAnsi="Times New Roman"/>
          <w:caps w:val="false"/>
          <w:smallCaps w:val="false"/>
          <w:sz w:val="20"/>
        </w:rPr>
        <w:t>$7.1 million and </w:t>
      </w:r>
      <w:bookmarkStart w:id="36" w:name="led401376F20248261727317570629"/>
      <w:bookmarkEnd w:id="36"/>
      <w:r>
        <w:rPr>
          <w:rFonts w:ascii="Times New Roman" w:hAnsi="Times New Roman"/>
          <w:caps w:val="false"/>
          <w:smallCaps w:val="false"/>
          <w:sz w:val="20"/>
        </w:rPr>
        <w:t>$9.8 million for the </w:t>
      </w:r>
      <w:bookmarkStart w:id="37" w:name="led401376F202511311767145487533"/>
      <w:bookmarkEnd w:id="37"/>
      <w:r>
        <w:rPr>
          <w:rFonts w:ascii="Times New Roman" w:hAnsi="Times New Roman"/>
          <w:caps w:val="false"/>
          <w:smallCaps w:val="false"/>
          <w:sz w:val="20"/>
        </w:rPr>
        <w:t>six months ended June 30, </w:t>
      </w:r>
      <w:bookmarkStart w:id="38" w:name="led401376F20248261727317596378"/>
      <w:bookmarkEnd w:id="38"/>
      <w:r>
        <w:rPr>
          <w:rFonts w:ascii="Times New Roman" w:hAnsi="Times New Roman"/>
          <w:caps w:val="false"/>
          <w:smallCaps w:val="false"/>
          <w:sz w:val="20"/>
        </w:rPr>
        <w:t xml:space="preserve">2026 and </w:t>
      </w:r>
      <w:bookmarkStart w:id="39" w:name="led401376F20248261727317601912"/>
      <w:bookmarkEnd w:id="39"/>
      <w:r>
        <w:rPr>
          <w:rFonts w:ascii="Times New Roman" w:hAnsi="Times New Roman"/>
          <w:caps w:val="false"/>
          <w:smallCaps w:val="false"/>
          <w:sz w:val="20"/>
        </w:rPr>
        <w:t>2025,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These conditions raise substantial doubt about the Company’s ability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three and six months ended June 30, 2026, we raised $7.0 million and $13.0 million, respectively, of gross proceeds from registered direct offerings of equity securities.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condensed consolidated financial statements for the quarter ended </w:t>
      </w:r>
      <w:bookmarkStart w:id="40" w:name="led401376F20248261727317840632"/>
      <w:bookmarkEnd w:id="40"/>
      <w:r>
        <w:rPr>
          <w:rFonts w:ascii="Times New Roman" w:hAnsi="Times New Roman"/>
          <w:caps w:val="false"/>
          <w:smallCaps w:val="false"/>
          <w:sz w:val="20"/>
        </w:rPr>
        <w:t>June 30, 2026, were issued.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financial statements incorporated herein by reference have been prepared assuming we will continue as a going concern, which contemplates the realization of assets and satisfaction of liabilities in the normal course of business. As a result, our financial statements incorporated herein by reference do not include any adjustments relating to the recoverability and classification of assets and their carrying amounts, or the amounts and classification of liabilities that may result should we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because the market value of our stock held by non-affiliates was less than $250 million as of June 30, 2026.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History and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Clene Nanomedicine, Inc. (“Clene Nanomedicine”) became a public company on December 30, 2020 (the “Closing Date”) when it completed a reverse recapitalization (the “Reverse Recapitalization”) with Tottenham Acquisition I Limited (“Tottenham”), and with Tottenham’s wholly-owned subsidiary and our predecessor, Chelsea Worldwide Inc., and Creative Worldwide Inc., a wholly-owned subsidiary of Chelsea Worldwide Inc. On the Closing Date, Chelsea Worldwide Inc. changed its name to Clene Inc. and listed its shares of common stock, par value $0.0001 per share (“common stock”), on Nasdaq under the symbol “CLNN.”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effected a 1-for-20 reverse stock split of our common stock beginning with the opening of trading on July 11, 2024 (the “Reverse Stock Split”). As a result, every 20 shares of our common stock issued and outstanding were automatically combined and converted into 1 validly issued, fully paid and non-assessable share. All outstanding stock options, warrants, rights to restricted stock awards, convertible debt, and contingent earn-out shares entitling their holders to purchase or receive shares of our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this prospectus supplement, including for periods ending prior to July 11, 2024, has been adjusted to reflect the 1-for-20 Reverse Stock Split.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mailing address for our principal executive office is 6550 South Millrock Drive, Suite G50, Salt Lake City, Utah 84121, and our telephone number is (801) 676-9695. Our website address is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1" w:name="S_OFFERING"/>
      <w:bookmarkEnd w:id="41"/>
      <w:r>
        <w:rPr>
          <w:rFonts w:ascii="Times New Roman;Times;serif" w:hAnsi="Times New Roman;Times;serif"/>
          <w:b/>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1"/>
        <w:gridCol w:w="60"/>
        <w:gridCol w:w="8244"/>
      </w:tblGrid>
      <w:tr>
        <w:trPr/>
        <w:tc>
          <w:tcPr>
            <w:tcW w:w="19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common stock being offered by us</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0"/>
              <w:ind w:left="0" w:right="0" w:hanging="0"/>
              <w:jc w:val="both"/>
              <w:rPr>
                <w:rFonts w:ascii="Times New Roman" w:hAnsi="Times New Roman"/>
                <w:sz w:val="20"/>
              </w:rPr>
            </w:pPr>
            <w:bookmarkStart w:id="42" w:name="led401386F20268917889810341401"/>
            <w:bookmarkEnd w:id="42"/>
            <w:r>
              <w:rPr>
                <w:rFonts w:ascii="Times New Roman" w:hAnsi="Times New Roman"/>
                <w:sz w:val="20"/>
              </w:rPr>
              <w:t>1,219,513 shares of our common stock.</w:t>
            </w:r>
          </w:p>
        </w:tc>
      </w:tr>
      <w:tr>
        <w:trPr/>
        <w:tc>
          <w:tcPr>
            <w:tcW w:w="19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 </w:t>
            </w:r>
          </w:p>
        </w:tc>
      </w:tr>
      <w:tr>
        <w:trPr/>
        <w:tc>
          <w:tcPr>
            <w:tcW w:w="19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common stock to be outstanding immediately after this offering</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0"/>
              <w:ind w:left="0" w:right="0" w:hanging="0"/>
              <w:jc w:val="both"/>
              <w:rPr>
                <w:rFonts w:ascii="Times New Roman" w:hAnsi="Times New Roman"/>
                <w:caps w:val="false"/>
                <w:smallCaps w:val="false"/>
                <w:sz w:val="20"/>
              </w:rPr>
            </w:pPr>
            <w:bookmarkStart w:id="43" w:name="led608466F20248301727666891260"/>
            <w:bookmarkEnd w:id="43"/>
            <w:r>
              <w:rPr>
                <w:rFonts w:ascii="Times New Roman" w:hAnsi="Times New Roman"/>
                <w:caps w:val="false"/>
                <w:smallCaps w:val="false"/>
                <w:sz w:val="20"/>
              </w:rPr>
              <w:t>14,213,981 shares of our common stock.</w:t>
            </w:r>
          </w:p>
        </w:tc>
      </w:tr>
      <w:tr>
        <w:trPr/>
        <w:tc>
          <w:tcPr>
            <w:tcW w:w="19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left"/>
              <w:rPr/>
            </w:pPr>
            <w:r>
              <w:rPr/>
              <w:t> </w:t>
            </w:r>
          </w:p>
        </w:tc>
      </w:tr>
      <w:tr>
        <w:trPr/>
        <w:tc>
          <w:tcPr>
            <w:tcW w:w="1901" w:type="dxa"/>
            <w:tcBorders/>
            <w:vAlign w:val="center"/>
          </w:tcPr>
          <w:p>
            <w:pPr>
              <w:pStyle w:val="TableContents"/>
              <w:bidi w:val="0"/>
              <w:spacing w:before="0" w:after="283"/>
              <w:jc w:val="both"/>
              <w:rPr/>
            </w:pPr>
            <w:r>
              <w:rPr/>
              <w:t>Use of proceeds</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expect to use the net proceeds from the offering, together with our existing cash, for expenses primarily related to general corporate purposes, including to fund the effort supporting the continued regulatory dialogue and preparation of regulatory filings and a new drug application for our lead drug candidate, CNM-Au8, including expanded access protocols, potential future commercialization efforts and manufacturing expansion. See “</w:t>
            </w:r>
            <w:r>
              <w:rPr>
                <w:rFonts w:ascii="Times New Roman" w:hAnsi="Times New Roman"/>
                <w:i/>
                <w:sz w:val="20"/>
              </w:rPr>
              <w:t>Use of Proceeds</w:t>
            </w:r>
            <w:r>
              <w:rPr>
                <w:rFonts w:ascii="Times New Roman" w:hAnsi="Times New Roman"/>
                <w:sz w:val="20"/>
              </w:rPr>
              <w:t>” for additional information.</w:t>
            </w:r>
          </w:p>
        </w:tc>
      </w:tr>
      <w:tr>
        <w:trPr/>
        <w:tc>
          <w:tcPr>
            <w:tcW w:w="19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 </w:t>
            </w:r>
          </w:p>
        </w:tc>
      </w:tr>
      <w:tr>
        <w:trPr/>
        <w:tc>
          <w:tcPr>
            <w:tcW w:w="1901" w:type="dxa"/>
            <w:tcBorders/>
            <w:vAlign w:val="center"/>
          </w:tcPr>
          <w:p>
            <w:pPr>
              <w:pStyle w:val="TableContents"/>
              <w:bidi w:val="0"/>
              <w:spacing w:before="0" w:after="283"/>
              <w:jc w:val="both"/>
              <w:rPr/>
            </w:pPr>
            <w:r>
              <w:rPr/>
              <w:t>Insider participation</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Certain of our directors have agreed to purchase shares of our common stock in this offering with an aggregate purchase price of approximately </w:t>
            </w:r>
            <w:bookmarkStart w:id="44" w:name="led401386F20268111789149972159"/>
            <w:bookmarkEnd w:id="44"/>
            <w:r>
              <w:rPr/>
              <w:t>$2.1 million at the offering price.</w:t>
            </w:r>
          </w:p>
        </w:tc>
      </w:tr>
      <w:tr>
        <w:trPr/>
        <w:tc>
          <w:tcPr>
            <w:tcW w:w="19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 </w:t>
            </w:r>
          </w:p>
        </w:tc>
      </w:tr>
      <w:tr>
        <w:trPr/>
        <w:tc>
          <w:tcPr>
            <w:tcW w:w="1901" w:type="dxa"/>
            <w:tcBorders/>
            <w:vAlign w:val="center"/>
          </w:tcPr>
          <w:p>
            <w:pPr>
              <w:pStyle w:val="TableContents"/>
              <w:bidi w:val="0"/>
              <w:spacing w:before="0" w:after="283"/>
              <w:jc w:val="both"/>
              <w:rPr/>
            </w:pPr>
            <w:r>
              <w:rPr/>
              <w:t>Risk factors</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Any investment in the securities offered hereby is speculative and involves a high degree of risk. You should read carefully the information set forth in “</w:t>
            </w:r>
            <w:r>
              <w:rPr>
                <w:i/>
              </w:rPr>
              <w:t>Risk Factors</w:t>
            </w:r>
            <w:r>
              <w:rPr/>
              <w:t>” in this prospectus supplement and the accompanying base prospectus, together with other information included elsewhere in this prospectus supplement, or incorporated by reference into this prospectus supplement, for a discussion of factors that you should consider before deciding to invest in our securities.</w:t>
            </w:r>
          </w:p>
        </w:tc>
      </w:tr>
      <w:tr>
        <w:trPr/>
        <w:tc>
          <w:tcPr>
            <w:tcW w:w="19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283"/>
              <w:jc w:val="both"/>
              <w:rPr/>
            </w:pPr>
            <w:r>
              <w:rPr/>
              <w:t> </w:t>
            </w:r>
          </w:p>
        </w:tc>
      </w:tr>
      <w:tr>
        <w:trPr/>
        <w:tc>
          <w:tcPr>
            <w:tcW w:w="1901" w:type="dxa"/>
            <w:tcBorders/>
            <w:vAlign w:val="center"/>
          </w:tcPr>
          <w:p>
            <w:pPr>
              <w:pStyle w:val="TableContents"/>
              <w:bidi w:val="0"/>
              <w:spacing w:before="0" w:after="283"/>
              <w:jc w:val="both"/>
              <w:rPr/>
            </w:pPr>
            <w:r>
              <w:rPr/>
              <w:t>Nasdaq Capital Market symbol</w:t>
            </w:r>
          </w:p>
        </w:tc>
        <w:tc>
          <w:tcPr>
            <w:tcW w:w="60" w:type="dxa"/>
            <w:tcBorders/>
            <w:vAlign w:val="center"/>
          </w:tcPr>
          <w:p>
            <w:pPr>
              <w:pStyle w:val="TableContents"/>
              <w:bidi w:val="0"/>
              <w:spacing w:before="0" w:after="283"/>
              <w:jc w:val="both"/>
              <w:rPr/>
            </w:pPr>
            <w:r>
              <w:rPr/>
              <w:t> </w:t>
            </w:r>
          </w:p>
        </w:tc>
        <w:tc>
          <w:tcPr>
            <w:tcW w:w="824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CLNN”</w:t>
            </w:r>
          </w:p>
        </w:tc>
      </w:tr>
    </w:tbl>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The number of shares of our common stock outstanding immediately after this offering is based on </w:t>
      </w:r>
      <w:bookmarkStart w:id="45" w:name="led608466F20248261727369875841"/>
      <w:bookmarkEnd w:id="45"/>
      <w:r>
        <w:rPr>
          <w:rFonts w:ascii="Times New Roman" w:hAnsi="Times New Roman"/>
          <w:caps w:val="false"/>
          <w:smallCaps w:val="false"/>
          <w:sz w:val="20"/>
        </w:rPr>
        <w:t>12,994,468 shares of common stock outstanding as of </w:t>
      </w:r>
      <w:bookmarkStart w:id="46" w:name="led401375F20234111683840075985"/>
      <w:bookmarkEnd w:id="46"/>
      <w:r>
        <w:rPr>
          <w:rFonts w:ascii="Times New Roman" w:hAnsi="Times New Roman"/>
          <w:caps w:val="false"/>
          <w:smallCaps w:val="false"/>
          <w:sz w:val="20"/>
        </w:rPr>
        <w:t>September 14, 2026, and excludes the following:</w:t>
      </w:r>
    </w:p>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47" w:name="led608466F20248261727369905383"/>
            <w:bookmarkEnd w:id="47"/>
            <w:r>
              <w:rPr>
                <w:rFonts w:ascii="Times New Roman;Times;serif" w:hAnsi="Times New Roman;Times;serif"/>
                <w:caps w:val="false"/>
                <w:smallCaps w:val="false"/>
                <w:sz w:val="20"/>
              </w:rPr>
              <w:t>3,474,923 shares of common stock issuable upon exercise of stock options outstanding as of </w:t>
            </w:r>
            <w:bookmarkStart w:id="48" w:name="led401375F20234111683840100384"/>
            <w:bookmarkEnd w:id="48"/>
            <w:r>
              <w:rPr>
                <w:rFonts w:ascii="Times New Roman;Times;serif" w:hAnsi="Times New Roman;Times;serif"/>
                <w:caps w:val="false"/>
                <w:smallCaps w:val="false"/>
                <w:sz w:val="20"/>
              </w:rPr>
              <w:t xml:space="preserve">September 14, 2026 with a weighted-average exercise price of </w:t>
            </w:r>
            <w:bookmarkStart w:id="49" w:name="led608466F20248261727369915732"/>
            <w:bookmarkEnd w:id="49"/>
            <w:r>
              <w:rPr>
                <w:rFonts w:ascii="Times New Roman;Times;serif" w:hAnsi="Times New Roman;Times;serif"/>
                <w:caps w:val="false"/>
                <w:smallCaps w:val="false"/>
                <w:sz w:val="20"/>
              </w:rPr>
              <w:t>$17.73 per share;</w:t>
            </w:r>
          </w:p>
        </w:tc>
      </w:tr>
    </w:tbl>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170"/>
        <w:gridCol w:w="90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50" w:name="led608466F20248261727369923301"/>
            <w:bookmarkEnd w:id="50"/>
            <w:r>
              <w:rPr>
                <w:rFonts w:ascii="Times New Roman;Times;serif" w:hAnsi="Times New Roman;Times;serif"/>
                <w:caps w:val="false"/>
                <w:smallCaps w:val="false"/>
                <w:sz w:val="20"/>
              </w:rPr>
              <w:t xml:space="preserve">837,798 shares of common stock reserved for future grant under our 2020 Stock Plan as of </w:t>
            </w:r>
            <w:bookmarkStart w:id="51" w:name="led401375F20234111683840106354"/>
            <w:bookmarkEnd w:id="51"/>
            <w:r>
              <w:rPr>
                <w:rFonts w:ascii="Times New Roman;Times;serif" w:hAnsi="Times New Roman;Times;serif"/>
                <w:caps w:val="false"/>
                <w:smallCaps w:val="false"/>
                <w:sz w:val="20"/>
              </w:rPr>
              <w:t>September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52" w:name="led608466F20248261727369934679"/>
            <w:bookmarkEnd w:id="52"/>
            <w:r>
              <w:rPr>
                <w:rFonts w:ascii="Times New Roman;Times;serif" w:hAnsi="Times New Roman;Times;serif"/>
                <w:caps w:val="false"/>
                <w:smallCaps w:val="false"/>
                <w:sz w:val="20"/>
              </w:rPr>
              <w:t>7,910,247 shares of common stock issuable upon exercise of warrants outstanding as of </w:t>
            </w:r>
            <w:bookmarkStart w:id="53" w:name="led401375F20234111683840111379"/>
            <w:bookmarkEnd w:id="53"/>
            <w:r>
              <w:rPr>
                <w:rFonts w:ascii="Times New Roman;Times;serif" w:hAnsi="Times New Roman;Times;serif"/>
                <w:caps w:val="false"/>
                <w:smallCaps w:val="false"/>
                <w:sz w:val="20"/>
              </w:rPr>
              <w:t xml:space="preserve">September 14, 2026 with a weighted-average exercise price of </w:t>
            </w:r>
            <w:bookmarkStart w:id="54" w:name="led608466F2026021767319851894"/>
            <w:bookmarkEnd w:id="54"/>
            <w:r>
              <w:rPr>
                <w:rFonts w:ascii="Times New Roman;Times;serif" w:hAnsi="Times New Roman;Times;serif"/>
                <w:caps w:val="false"/>
                <w:smallCaps w:val="false"/>
                <w:sz w:val="20"/>
              </w:rPr>
              <w:t>$13.33 per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up to </w:t>
            </w:r>
            <w:bookmarkStart w:id="55" w:name="led608466F20248261727369985918"/>
            <w:bookmarkEnd w:id="55"/>
            <w:r>
              <w:rPr>
                <w:rFonts w:ascii="Times New Roman;Times;serif" w:hAnsi="Times New Roman;Times;serif"/>
                <w:caps w:val="false"/>
                <w:smallCaps w:val="false"/>
                <w:sz w:val="20"/>
              </w:rPr>
              <w:t xml:space="preserve">1,637,710 shares of common stock issuable upon conversion of our convertible notes payable outstanding as of </w:t>
            </w:r>
            <w:bookmarkStart w:id="56" w:name="led401375F20234111683840126942"/>
            <w:bookmarkEnd w:id="56"/>
            <w:r>
              <w:rPr>
                <w:rFonts w:ascii="Times New Roman;Times;serif" w:hAnsi="Times New Roman;Times;serif"/>
                <w:caps w:val="false"/>
                <w:smallCaps w:val="false"/>
                <w:sz w:val="20"/>
              </w:rPr>
              <w:t>September 14, 2026.</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Except as otherwise indicated, all information in this prospectus supplement assumes no exercise of the outstanding options or warrants or conversion of convertible notes payable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57" w:name="S_RISK_FACTORS"/>
      <w:bookmarkEnd w:id="57"/>
      <w:r>
        <w:rPr>
          <w:rFonts w:ascii="Times New Roman;Times;serif" w:hAnsi="Times New Roman;Times;serif"/>
          <w:b/>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Investing in our securities involves a high degree of risk. Before deciding whether to invest in our securities, you should carefully consider the risks and uncertainties described below and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most recent Annual Report on Form 10-K and any subsequent Quarterly Reports on Form 10-Q, which are incorporated herein by reference, together with the information contained in this prospectus supplement, the accompanying base prospectus, and any other information that has been or will be incorporated herein or therein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supplement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Securities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 for our common stock may not provide investors with adequate liquidity.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is currently listed on Nasdaq. However, the trading market for our common stock may not be maintained and may not provide investors with adequate liquidity. The liquidity of the market for our common stock depends on a number of factors, including prevailing interest rates, our financial condition and operating results, the number of holders of our common stock, the market for similar securities and the interest of securities dealers in making a market in our common stock. We cannot predict the extent to which investor interest in our Company will maintain the trading market in our common stock, or how liquid that market will be. If an active market is not maintained, investors may have difficulty selling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pursuant to this prospectus supplement and/or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management will have broad discretion over the use of the net proceeds we receive in this offering and may not apply the proceeds in ways that increase the value of your investment,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management will have broad discretion to use the net proceeds payable to us from this offering and you will be relying on the judgment of our management regarding the application of these net proceeds. Our management might not apply the net proceeds from this offering in ways that increase the value of your investment. Until we use the net proceeds payable to us from this offering, we plan to invest them, and these investments may not yield a favorable rate of return. If we do not invest or apply the net proceeds from this offering in ways that enhance stockholder value, we may fail to achieve expected financial results,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you purchase our common stock in this offering, you will incur immediate and substantial dilution in the book value of your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Investors purchasing shares of our common stock in this offering will pay a price per share that substantially exceeds the pro forma as adjusted net tangible book value per share of our common stock. As a result, investors purchasing shares of our common stock in this offering will experience immediate dilution of </w:t>
      </w:r>
      <w:bookmarkStart w:id="58" w:name="led401382F20234111683840366028"/>
      <w:bookmarkEnd w:id="58"/>
      <w:r>
        <w:rPr>
          <w:rFonts w:ascii="Times New Roman" w:hAnsi="Times New Roman"/>
          <w:caps w:val="false"/>
          <w:smallCaps w:val="false"/>
          <w:sz w:val="20"/>
        </w:rPr>
        <w:t xml:space="preserve">$4.77 per share, representing the difference between the public offering price of </w:t>
      </w:r>
      <w:bookmarkStart w:id="59" w:name="led401386F2026891788990078414"/>
      <w:bookmarkEnd w:id="59"/>
      <w:r>
        <w:rPr>
          <w:rFonts w:ascii="Times New Roman" w:hAnsi="Times New Roman"/>
          <w:caps w:val="false"/>
          <w:smallCaps w:val="false"/>
          <w:sz w:val="20"/>
        </w:rPr>
        <w:t xml:space="preserve">$3.28 per share and our pro forma as adjusted net tangible book value per share as of </w:t>
      </w:r>
      <w:bookmarkStart w:id="60" w:name="led401375F20248261727372180805"/>
      <w:bookmarkEnd w:id="60"/>
      <w:r>
        <w:rPr>
          <w:rFonts w:ascii="Times New Roman" w:hAnsi="Times New Roman"/>
          <w:caps w:val="false"/>
          <w:smallCaps w:val="false"/>
          <w:sz w:val="20"/>
        </w:rPr>
        <w:t>June 30, 2026. To the extent outstanding options or warrants to purchase our common stock are exercised, you may experience further dilution. For more information on the dilution you may experience as a result of investing in this offering, see the section of this prospectus supplement entitled “</w:t>
      </w:r>
      <w:r>
        <w:rPr>
          <w:rFonts w:ascii="Times New Roman" w:hAnsi="Times New Roman"/>
          <w:i/>
          <w:caps w:val="false"/>
          <w:smallCaps w:val="false"/>
          <w:sz w:val="20"/>
        </w:rPr>
        <w:t>Dilution</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The price per share at which we sell additional shares of our common stock, or securities convertible or exchangeable into common stock, in future transactions may be lower than the price per share paid by investors in this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the holders of our outstanding the debt would have a claim to our assets that would be prior to the rights of stockholders until the debt is paid. If the issuance of new securities results in diminished rights to holders of our common stock, the market price of our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1" w:name="S_PROCEEDS"/>
      <w:bookmarkEnd w:id="61"/>
      <w:r>
        <w:rPr>
          <w:rFonts w:ascii="Times New Roman;Times;serif" w:hAnsi="Times New Roman;Times;serif"/>
          <w:b/>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We estimate the net proceeds from this offering will be approximately </w:t>
      </w:r>
      <w:bookmarkStart w:id="62" w:name="led401386F2026891788991187899"/>
      <w:bookmarkEnd w:id="62"/>
      <w:r>
        <w:rPr>
          <w:rFonts w:ascii="Times New Roman" w:hAnsi="Times New Roman"/>
          <w:caps w:val="false"/>
          <w:smallCaps w:val="false"/>
          <w:sz w:val="20"/>
        </w:rPr>
        <w:t>$4.0 million from the sale of our common stock, after deducting offering expenses payable by 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expect to use the net proceeds from the offering, together with our existing cash, for expenses primarily related to general corporate purposes, including to fund the effort supporting the continued regulatory dialogue and preparation of regulatory filings and a new drug application for our lead drug candidate, CNM-Au8, including expanded access protocols, potential future commercialization efforts and manufacturing expansion.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drug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clinical trials, and the timing of regulatory submissions. Accordingly, we will have broad discretion in using these net proceeds.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intend to invest the net proceeds we receive that are not used as described above in a variety of capital preservation investments, including investment-grade, interest-bearing instruments and certificates of deposit or direct or guaranteed obligations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3" w:name="S_DIVIDENDS"/>
      <w:bookmarkEnd w:id="63"/>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have not declared or paid any cash dividends on our capital stock. We currently intend to retain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4" w:name="S_SECURITIES"/>
      <w:bookmarkEnd w:id="64"/>
      <w:r>
        <w:rPr>
          <w:rFonts w:ascii="Times New Roman;Times;serif" w:hAnsi="Times New Roman;Times;serif"/>
          <w:b/>
          <w:sz w:val="20"/>
        </w:rPr>
        <w:t>DESCRIPTION OF SECURITIES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material terms of our common stock are described under the heading “</w:t>
      </w:r>
      <w:r>
        <w:rPr>
          <w:rFonts w:ascii="Times New Roman;Times;serif" w:hAnsi="Times New Roman;Times;serif"/>
          <w:i/>
          <w:sz w:val="20"/>
        </w:rPr>
        <w:t>Description of Capital Stock</w:t>
      </w:r>
      <w:r>
        <w:rPr>
          <w:rFonts w:ascii="Times New Roman;Times;serif" w:hAnsi="Times New Roman;Times;serif"/>
          <w:sz w:val="20"/>
        </w:rPr>
        <w:t>” in the accompanying base prospectus and in the “</w:t>
      </w:r>
      <w:r>
        <w:rPr>
          <w:rFonts w:ascii="Times New Roman;Times;serif" w:hAnsi="Times New Roman;Times;serif"/>
          <w:i/>
          <w:sz w:val="20"/>
        </w:rPr>
        <w:t>Description of Securities of the Registrant</w:t>
      </w:r>
      <w:r>
        <w:rPr>
          <w:rFonts w:ascii="Times New Roman;Times;serif" w:hAnsi="Times New Roman;Times;serif"/>
          <w:sz w:val="20"/>
        </w:rPr>
        <w:t>” included as Exhibit 4.1 to our Annual Report on Form 10-K for the year ended </w:t>
      </w:r>
      <w:bookmarkStart w:id="65" w:name="led401375F20248261727373382184"/>
      <w:bookmarkEnd w:id="65"/>
      <w:r>
        <w:rPr>
          <w:rFonts w:ascii="Times New Roman;Times;serif" w:hAnsi="Times New Roman;Times;serif"/>
          <w:sz w:val="20"/>
        </w:rPr>
        <w:t>December 31, 2025, filed with the SEC on March 17, 2026.</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transfer agent and registrar for our common stock is Equiniti Trust Company, LLC. Our common stock is listed on the Nasdaq Capital Market under the symbol “CLNN.”</w:t>
      </w:r>
    </w:p>
    <w:p>
      <w:pPr>
        <w:pStyle w:val="TextBody"/>
        <w:bidi w:val="0"/>
        <w:spacing w:before="0" w:after="0"/>
        <w:ind w:left="0" w:right="0" w:firstLine="40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6" w:name="S_DILUTION"/>
      <w:bookmarkEnd w:id="66"/>
      <w:r>
        <w:rPr>
          <w:rFonts w:ascii="Times New Roman;Times;serif" w:hAnsi="Times New Roman;Times;serif"/>
          <w:b/>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you invest in our securities in this offering, you will experience immediate and substantial dilution to the extent of the difference between the public offering price per share of our common stock and the adjusted net tangible book value per share of our common stock immediately upon the consummation of this offering. Net tangible book value per share represents the book value of our tangible assets less the book value of our total liabilities divided by the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historical net tangible book value (deficit) as of </w:t>
      </w:r>
      <w:bookmarkStart w:id="67" w:name="led401375F20248261727373578296"/>
      <w:bookmarkEnd w:id="67"/>
      <w:r>
        <w:rPr>
          <w:rFonts w:ascii="Times New Roman" w:hAnsi="Times New Roman"/>
          <w:caps w:val="false"/>
          <w:smallCaps w:val="false"/>
          <w:sz w:val="20"/>
        </w:rPr>
        <w:t xml:space="preserve">June 30, 2026 was </w:t>
      </w:r>
      <w:bookmarkStart w:id="68" w:name="led401382F20248261727373745535"/>
      <w:bookmarkEnd w:id="68"/>
      <w:r>
        <w:rPr>
          <w:rFonts w:ascii="Times New Roman" w:hAnsi="Times New Roman"/>
          <w:caps w:val="false"/>
          <w:smallCaps w:val="false"/>
          <w:sz w:val="20"/>
        </w:rPr>
        <w:t xml:space="preserve">$(24.8) million, or </w:t>
      </w:r>
      <w:bookmarkStart w:id="69" w:name="led401382F20234111683840510097"/>
      <w:bookmarkEnd w:id="69"/>
      <w:r>
        <w:rPr>
          <w:rFonts w:ascii="Times New Roman" w:hAnsi="Times New Roman"/>
          <w:caps w:val="false"/>
          <w:smallCaps w:val="false"/>
          <w:sz w:val="20"/>
        </w:rPr>
        <w:t xml:space="preserve">($1.94) per share of our common stock. Our historical net tangible book value (deficit) is the amount of our total tangible assets less our total liabilities. Historical net tangible book value (deficit) per share represents historical net tangible book value (deficit) divided by </w:t>
      </w:r>
      <w:bookmarkStart w:id="70" w:name="led401382F20234111683840529966"/>
      <w:bookmarkEnd w:id="70"/>
      <w:r>
        <w:rPr>
          <w:rFonts w:ascii="Times New Roman" w:hAnsi="Times New Roman"/>
          <w:caps w:val="false"/>
          <w:smallCaps w:val="false"/>
          <w:sz w:val="20"/>
        </w:rPr>
        <w:t xml:space="preserve">12,778,307 shares of our common stock outstanding as of </w:t>
      </w:r>
      <w:bookmarkStart w:id="71" w:name="led401375F20248261727373587478"/>
      <w:bookmarkEnd w:id="71"/>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After giving effect to </w:t>
      </w:r>
      <w:bookmarkStart w:id="72" w:name="led401386F2026891788994677585"/>
      <w:bookmarkEnd w:id="72"/>
      <w:r>
        <w:rPr>
          <w:rFonts w:ascii="Times New Roman" w:hAnsi="Times New Roman"/>
          <w:caps w:val="false"/>
          <w:smallCaps w:val="false"/>
          <w:sz w:val="20"/>
        </w:rPr>
        <w:t>1,219,513 shares of our common stock issued and sold in this offering at an offering price of </w:t>
      </w:r>
      <w:bookmarkStart w:id="73" w:name="led401386F2026891788994685609"/>
      <w:bookmarkEnd w:id="73"/>
      <w:r>
        <w:rPr>
          <w:rFonts w:ascii="Times New Roman" w:hAnsi="Times New Roman"/>
          <w:caps w:val="false"/>
          <w:smallCaps w:val="false"/>
          <w:sz w:val="20"/>
        </w:rPr>
        <w:t>$3.28 per share, and after deducting estimated offering expenses payable by us, our as adjusted net tangible book value (deficit) as of </w:t>
      </w:r>
      <w:bookmarkStart w:id="74" w:name="led401375F202482617273735782961"/>
      <w:bookmarkEnd w:id="74"/>
      <w:r>
        <w:rPr>
          <w:rFonts w:ascii="Times New Roman" w:hAnsi="Times New Roman"/>
          <w:caps w:val="false"/>
          <w:smallCaps w:val="false"/>
          <w:sz w:val="20"/>
        </w:rPr>
        <w:t xml:space="preserve">June 30, 2026 would have been </w:t>
      </w:r>
      <w:bookmarkStart w:id="75" w:name="led401382F20234111683841032464"/>
      <w:bookmarkEnd w:id="75"/>
      <w:r>
        <w:rPr>
          <w:rFonts w:ascii="Times New Roman" w:hAnsi="Times New Roman"/>
          <w:caps w:val="false"/>
          <w:smallCaps w:val="false"/>
          <w:sz w:val="20"/>
        </w:rPr>
        <w:t xml:space="preserve">$(20.8) million, or </w:t>
      </w:r>
      <w:bookmarkStart w:id="76" w:name="led401382F20234111683841055498"/>
      <w:bookmarkEnd w:id="76"/>
      <w:r>
        <w:rPr>
          <w:rFonts w:ascii="Times New Roman" w:hAnsi="Times New Roman"/>
          <w:caps w:val="false"/>
          <w:smallCaps w:val="false"/>
          <w:sz w:val="20"/>
        </w:rPr>
        <w:t xml:space="preserve">($1.49) per share. This represents an immediate increase in as adjusted net tangible book value (deficit) per share of </w:t>
      </w:r>
      <w:bookmarkStart w:id="77" w:name="led401382F20234111683841117458"/>
      <w:bookmarkEnd w:id="77"/>
      <w:r>
        <w:rPr>
          <w:rFonts w:ascii="Times New Roman" w:hAnsi="Times New Roman"/>
          <w:caps w:val="false"/>
          <w:smallCaps w:val="false"/>
          <w:sz w:val="20"/>
        </w:rPr>
        <w:t xml:space="preserve">$0.45 to existing stockholders and an immediate dilution of </w:t>
      </w:r>
      <w:bookmarkStart w:id="78" w:name="led401382F20234111683841124336"/>
      <w:bookmarkEnd w:id="78"/>
      <w:r>
        <w:rPr>
          <w:rFonts w:ascii="Times New Roman" w:hAnsi="Times New Roman"/>
          <w:caps w:val="false"/>
          <w:smallCaps w:val="false"/>
          <w:sz w:val="20"/>
        </w:rPr>
        <w:t>$4.77 in as adjusted net tangible book value (deficit) per share to investors purchasing our securities in this offering. Dilution per share to investors purchasing our securities in this offering is determined by subtracting as adjusted net tangible book value (deficit) per share after this offering from the public offering price per share paid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following table illustrates this dilution on a per share basis:</w:t>
      </w:r>
    </w:p>
    <w:p>
      <w:pPr>
        <w:pStyle w:val="TextBody"/>
        <w:bidi w:val="0"/>
        <w:spacing w:before="0" w:after="0"/>
        <w:ind w:left="0" w:right="0" w:firstLine="420"/>
        <w:jc w:val="both"/>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6680"/>
        <w:gridCol w:w="60"/>
        <w:gridCol w:w="125"/>
        <w:gridCol w:w="440"/>
        <w:gridCol w:w="80"/>
        <w:gridCol w:w="60"/>
        <w:gridCol w:w="125"/>
        <w:gridCol w:w="380"/>
        <w:gridCol w:w="60"/>
      </w:tblGrid>
      <w:tr>
        <w:trPr/>
        <w:tc>
          <w:tcPr>
            <w:tcW w:w="66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price per share</w:t>
            </w:r>
            <w:bookmarkStart w:id="79" w:name=".lead.B2"/>
            <w:bookmarkEnd w:id="79"/>
          </w:p>
        </w:tc>
        <w:tc>
          <w:tcPr>
            <w:tcW w:w="60" w:type="dxa"/>
            <w:tcBorders/>
            <w:shd w:fill="CCEEFF" w:val="clear"/>
            <w:vAlign w:val="center"/>
          </w:tcPr>
          <w:p>
            <w:pPr>
              <w:pStyle w:val="TableContents"/>
              <w:bidi w:val="0"/>
              <w:spacing w:before="0" w:after="283"/>
              <w:jc w:val="left"/>
              <w:rPr/>
            </w:pPr>
            <w:r>
              <w:rPr/>
              <w:t> </w:t>
            </w:r>
            <w:bookmarkStart w:id="80" w:name=".symb.B2"/>
            <w:bookmarkEnd w:id="80"/>
          </w:p>
        </w:tc>
        <w:tc>
          <w:tcPr>
            <w:tcW w:w="125" w:type="dxa"/>
            <w:tcBorders/>
            <w:shd w:fill="CCEEFF" w:val="clear"/>
            <w:vAlign w:val="center"/>
          </w:tcPr>
          <w:p>
            <w:pPr>
              <w:pStyle w:val="TableContents"/>
              <w:bidi w:val="0"/>
              <w:spacing w:before="0" w:after="283"/>
              <w:jc w:val="left"/>
              <w:rPr/>
            </w:pPr>
            <w:r>
              <w:rPr/>
              <w:t> </w:t>
            </w:r>
            <w:bookmarkStart w:id="81" w:name=".amt.B2"/>
            <w:bookmarkEnd w:id="81"/>
          </w:p>
        </w:tc>
        <w:tc>
          <w:tcPr>
            <w:tcW w:w="440" w:type="dxa"/>
            <w:tcBorders/>
            <w:shd w:fill="CCEEFF" w:val="clear"/>
            <w:vAlign w:val="center"/>
          </w:tcPr>
          <w:p>
            <w:pPr>
              <w:pStyle w:val="TableContents"/>
              <w:bidi w:val="0"/>
              <w:spacing w:before="0" w:after="283"/>
              <w:jc w:val="right"/>
              <w:rPr/>
            </w:pPr>
            <w:r>
              <w:rPr/>
              <w:t> </w:t>
            </w:r>
            <w:bookmarkStart w:id="82" w:name=".trail.B2"/>
            <w:bookmarkEnd w:id="82"/>
          </w:p>
        </w:tc>
        <w:tc>
          <w:tcPr>
            <w:tcW w:w="80" w:type="dxa"/>
            <w:tcBorders/>
            <w:shd w:fill="CCEEFF" w:val="clear"/>
            <w:vAlign w:val="center"/>
          </w:tcPr>
          <w:p>
            <w:pPr>
              <w:pStyle w:val="TableContents"/>
              <w:bidi w:val="0"/>
              <w:spacing w:before="0" w:after="283"/>
              <w:jc w:val="left"/>
              <w:rPr/>
            </w:pPr>
            <w:r>
              <w:rPr/>
              <w:t> </w:t>
            </w:r>
            <w:bookmarkStart w:id="83" w:name=".lead.3"/>
            <w:bookmarkEnd w:id="83"/>
          </w:p>
        </w:tc>
        <w:tc>
          <w:tcPr>
            <w:tcW w:w="60" w:type="dxa"/>
            <w:tcBorders/>
            <w:shd w:fill="CCEEFF" w:val="clear"/>
            <w:vAlign w:val="center"/>
          </w:tcPr>
          <w:p>
            <w:pPr>
              <w:pStyle w:val="TableContents"/>
              <w:bidi w:val="0"/>
              <w:spacing w:before="0" w:after="283"/>
              <w:ind w:left="0" w:right="0" w:hanging="0"/>
              <w:jc w:val="left"/>
              <w:rPr/>
            </w:pPr>
            <w:r>
              <w:rPr/>
              <w:t> </w:t>
            </w:r>
            <w:bookmarkStart w:id="84" w:name=".symb.3"/>
            <w:bookmarkEnd w:id="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 w:name=".amt.3"/>
            <w:bookmarkEnd w:id="85"/>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86" w:name=".trail.3"/>
            <w:bookmarkEnd w:id="86"/>
          </w:p>
        </w:tc>
        <w:tc>
          <w:tcPr>
            <w:tcW w:w="60"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net tangible book value (deficit) per share</w:t>
            </w:r>
            <w:bookmarkStart w:id="87" w:name=".lead.2"/>
            <w:bookmarkEnd w:id="87"/>
          </w:p>
        </w:tc>
        <w:tc>
          <w:tcPr>
            <w:tcW w:w="60" w:type="dxa"/>
            <w:tcBorders/>
            <w:shd w:fill="FFFFFF" w:val="clear"/>
            <w:vAlign w:val="center"/>
          </w:tcPr>
          <w:p>
            <w:pPr>
              <w:pStyle w:val="TableContents"/>
              <w:bidi w:val="0"/>
              <w:spacing w:before="0" w:after="283"/>
              <w:ind w:left="0" w:right="0" w:hanging="0"/>
              <w:jc w:val="left"/>
              <w:rPr/>
            </w:pPr>
            <w:r>
              <w:rPr/>
              <w:t> </w:t>
            </w:r>
            <w:bookmarkStart w:id="88" w:name=".symb.2"/>
            <w:bookmarkEnd w:id="8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 w:name=".amt.2"/>
            <w:bookmarkEnd w:id="89"/>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bookmarkStart w:id="90" w:name=".trail.2"/>
            <w:bookmarkEnd w:id="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 w:name=".lead.B3"/>
            <w:bookmarkEnd w:id="91"/>
          </w:p>
        </w:tc>
        <w:tc>
          <w:tcPr>
            <w:tcW w:w="60" w:type="dxa"/>
            <w:tcBorders/>
            <w:shd w:fill="FFFFFF" w:val="clear"/>
            <w:vAlign w:val="center"/>
          </w:tcPr>
          <w:p>
            <w:pPr>
              <w:pStyle w:val="TableContents"/>
              <w:bidi w:val="0"/>
              <w:spacing w:before="0" w:after="283"/>
              <w:jc w:val="left"/>
              <w:rPr/>
            </w:pPr>
            <w:r>
              <w:rPr/>
              <w:t> </w:t>
            </w:r>
            <w:bookmarkStart w:id="92" w:name=".symb.B3"/>
            <w:bookmarkEnd w:id="92"/>
          </w:p>
        </w:tc>
        <w:tc>
          <w:tcPr>
            <w:tcW w:w="125" w:type="dxa"/>
            <w:tcBorders/>
            <w:shd w:fill="FFFFFF" w:val="clear"/>
            <w:vAlign w:val="center"/>
          </w:tcPr>
          <w:p>
            <w:pPr>
              <w:pStyle w:val="TableContents"/>
              <w:bidi w:val="0"/>
              <w:spacing w:before="0" w:after="283"/>
              <w:jc w:val="left"/>
              <w:rPr/>
            </w:pPr>
            <w:r>
              <w:rPr/>
              <w:t> </w:t>
            </w:r>
            <w:bookmarkStart w:id="93" w:name=".amt.B3"/>
            <w:bookmarkEnd w:id="93"/>
          </w:p>
        </w:tc>
        <w:tc>
          <w:tcPr>
            <w:tcW w:w="380" w:type="dxa"/>
            <w:tcBorders/>
            <w:shd w:fill="FFFFFF" w:val="clear"/>
            <w:vAlign w:val="center"/>
          </w:tcPr>
          <w:p>
            <w:pPr>
              <w:pStyle w:val="TableContents"/>
              <w:bidi w:val="0"/>
              <w:spacing w:before="0" w:after="283"/>
              <w:jc w:val="right"/>
              <w:rPr/>
            </w:pPr>
            <w:r>
              <w:rPr/>
              <w:t> </w:t>
            </w:r>
            <w:bookmarkStart w:id="94" w:name=".trail.B3"/>
            <w:bookmarkEnd w:id="94"/>
          </w:p>
        </w:tc>
        <w:tc>
          <w:tcPr>
            <w:tcW w:w="60"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historical net tangible book value per share attributable to this offering</w:t>
            </w:r>
            <w:bookmarkStart w:id="95" w:name=".lead.21"/>
            <w:bookmarkStart w:id="96" w:name=".lead.22"/>
            <w:bookmarkEnd w:id="95"/>
            <w:bookmarkEnd w:id="96"/>
          </w:p>
        </w:tc>
        <w:tc>
          <w:tcPr>
            <w:tcW w:w="60" w:type="dxa"/>
            <w:tcBorders/>
            <w:shd w:fill="CCEEFF" w:val="clear"/>
            <w:vAlign w:val="center"/>
          </w:tcPr>
          <w:p>
            <w:pPr>
              <w:pStyle w:val="TableContents"/>
              <w:bidi w:val="0"/>
              <w:spacing w:before="0" w:after="283"/>
              <w:jc w:val="left"/>
              <w:rPr/>
            </w:pPr>
            <w:r>
              <w:rPr/>
              <w:t> </w:t>
            </w:r>
            <w:bookmarkStart w:id="97" w:name=".symb.21"/>
            <w:bookmarkStart w:id="98" w:name=".symb.22"/>
            <w:bookmarkEnd w:id="97"/>
            <w:bookmarkEnd w:id="98"/>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9" w:name=".amt.21"/>
            <w:bookmarkStart w:id="100" w:name=".amt.22"/>
            <w:bookmarkEnd w:id="99"/>
            <w:bookmarkEnd w:id="100"/>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0.45</w:t>
            </w:r>
            <w:bookmarkStart w:id="101" w:name=".trail.21"/>
            <w:bookmarkStart w:id="102" w:name=".trail.22"/>
            <w:bookmarkEnd w:id="101"/>
            <w:bookmarkEnd w:id="102"/>
          </w:p>
        </w:tc>
        <w:tc>
          <w:tcPr>
            <w:tcW w:w="80" w:type="dxa"/>
            <w:tcBorders/>
            <w:shd w:fill="CCEEFF" w:val="clear"/>
            <w:vAlign w:val="center"/>
          </w:tcPr>
          <w:p>
            <w:pPr>
              <w:pStyle w:val="TableContents"/>
              <w:bidi w:val="0"/>
              <w:spacing w:before="0" w:after="283"/>
              <w:jc w:val="left"/>
              <w:rPr/>
            </w:pPr>
            <w:r>
              <w:rPr/>
              <w:t> </w:t>
            </w:r>
            <w:bookmarkStart w:id="103" w:name=".lead.B31"/>
            <w:bookmarkStart w:id="104" w:name=".lead.B32"/>
            <w:bookmarkEnd w:id="103"/>
            <w:bookmarkEnd w:id="104"/>
          </w:p>
        </w:tc>
        <w:tc>
          <w:tcPr>
            <w:tcW w:w="60" w:type="dxa"/>
            <w:tcBorders/>
            <w:shd w:fill="CCEEFF" w:val="clear"/>
            <w:vAlign w:val="center"/>
          </w:tcPr>
          <w:p>
            <w:pPr>
              <w:pStyle w:val="TableContents"/>
              <w:bidi w:val="0"/>
              <w:spacing w:before="0" w:after="283"/>
              <w:jc w:val="left"/>
              <w:rPr/>
            </w:pPr>
            <w:r>
              <w:rPr/>
              <w:t> </w:t>
            </w:r>
            <w:bookmarkStart w:id="105" w:name=".symb.B31"/>
            <w:bookmarkStart w:id="106" w:name=".symb.B32"/>
            <w:bookmarkEnd w:id="105"/>
            <w:bookmarkEnd w:id="106"/>
          </w:p>
        </w:tc>
        <w:tc>
          <w:tcPr>
            <w:tcW w:w="125" w:type="dxa"/>
            <w:tcBorders/>
            <w:shd w:fill="CCEEFF" w:val="clear"/>
            <w:vAlign w:val="center"/>
          </w:tcPr>
          <w:p>
            <w:pPr>
              <w:pStyle w:val="TableContents"/>
              <w:bidi w:val="0"/>
              <w:spacing w:before="0" w:after="283"/>
              <w:jc w:val="left"/>
              <w:rPr/>
            </w:pPr>
            <w:r>
              <w:rPr/>
              <w:t> </w:t>
            </w:r>
            <w:bookmarkStart w:id="107" w:name=".amt.B31"/>
            <w:bookmarkStart w:id="108" w:name=".amt.B32"/>
            <w:bookmarkEnd w:id="107"/>
            <w:bookmarkEnd w:id="108"/>
          </w:p>
        </w:tc>
        <w:tc>
          <w:tcPr>
            <w:tcW w:w="380" w:type="dxa"/>
            <w:tcBorders/>
            <w:shd w:fill="CCEEFF" w:val="clear"/>
            <w:vAlign w:val="center"/>
          </w:tcPr>
          <w:p>
            <w:pPr>
              <w:pStyle w:val="TableContents"/>
              <w:bidi w:val="0"/>
              <w:spacing w:before="0" w:after="283"/>
              <w:jc w:val="right"/>
              <w:rPr/>
            </w:pPr>
            <w:r>
              <w:rPr/>
              <w:t> </w:t>
            </w:r>
            <w:bookmarkStart w:id="109" w:name=".trail.B31"/>
            <w:bookmarkStart w:id="110" w:name=".trail.B32"/>
            <w:bookmarkEnd w:id="109"/>
            <w:bookmarkEnd w:id="110"/>
          </w:p>
        </w:tc>
        <w:tc>
          <w:tcPr>
            <w:tcW w:w="60" w:type="dxa"/>
            <w:tcBorders/>
            <w:shd w:fill="CCEEFF" w:val="clear"/>
            <w:vAlign w:val="center"/>
          </w:tcPr>
          <w:p>
            <w:pPr>
              <w:pStyle w:val="TableContents"/>
              <w:bidi w:val="0"/>
              <w:spacing w:before="0" w:after="283"/>
              <w:jc w:val="left"/>
              <w:rPr/>
            </w:pPr>
            <w:r>
              <w:rPr/>
              <w:t> </w:t>
            </w:r>
          </w:p>
        </w:tc>
      </w:tr>
      <w:tr>
        <w:trPr/>
        <w:tc>
          <w:tcPr>
            <w:tcW w:w="66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net tangible book value (deficit) per share after this offering</w:t>
            </w:r>
            <w:bookmarkStart w:id="111" w:name=".lead.23"/>
            <w:bookmarkStart w:id="112" w:name=".lead.24"/>
            <w:bookmarkEnd w:id="111"/>
            <w:bookmarkEnd w:id="112"/>
          </w:p>
        </w:tc>
        <w:tc>
          <w:tcPr>
            <w:tcW w:w="60" w:type="dxa"/>
            <w:tcBorders/>
            <w:shd w:fill="FFFFFF" w:val="clear"/>
            <w:vAlign w:val="center"/>
          </w:tcPr>
          <w:p>
            <w:pPr>
              <w:pStyle w:val="TableContents"/>
              <w:bidi w:val="0"/>
              <w:spacing w:before="0" w:after="283"/>
              <w:jc w:val="left"/>
              <w:rPr/>
            </w:pPr>
            <w:r>
              <w:rPr/>
              <w:t> </w:t>
            </w:r>
            <w:bookmarkStart w:id="113" w:name=".symb.23"/>
            <w:bookmarkStart w:id="114" w:name=".symb.24"/>
            <w:bookmarkEnd w:id="113"/>
            <w:bookmarkEnd w:id="114"/>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5" w:name=".amt.23"/>
            <w:bookmarkStart w:id="116" w:name=".amt.24"/>
            <w:bookmarkEnd w:id="115"/>
            <w:bookmarkEnd w:id="116"/>
          </w:p>
        </w:tc>
        <w:tc>
          <w:tcPr>
            <w:tcW w:w="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bookmarkStart w:id="117" w:name=".trail.23"/>
            <w:bookmarkStart w:id="118" w:name=".trail.24"/>
            <w:bookmarkEnd w:id="117"/>
            <w:bookmarkEnd w:id="11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9" w:name=".lead.B33"/>
            <w:bookmarkStart w:id="120" w:name=".lead.B34"/>
            <w:bookmarkEnd w:id="119"/>
            <w:bookmarkEnd w:id="120"/>
          </w:p>
        </w:tc>
        <w:tc>
          <w:tcPr>
            <w:tcW w:w="60" w:type="dxa"/>
            <w:tcBorders/>
            <w:shd w:fill="FFFFFF" w:val="clear"/>
            <w:vAlign w:val="center"/>
          </w:tcPr>
          <w:p>
            <w:pPr>
              <w:pStyle w:val="TableContents"/>
              <w:bidi w:val="0"/>
              <w:spacing w:before="0" w:after="283"/>
              <w:jc w:val="left"/>
              <w:rPr/>
            </w:pPr>
            <w:r>
              <w:rPr/>
              <w:t> </w:t>
            </w:r>
            <w:bookmarkStart w:id="121" w:name=".symb.B33"/>
            <w:bookmarkStart w:id="122" w:name=".symb.B34"/>
            <w:bookmarkEnd w:id="121"/>
            <w:bookmarkEnd w:id="122"/>
          </w:p>
        </w:tc>
        <w:tc>
          <w:tcPr>
            <w:tcW w:w="125" w:type="dxa"/>
            <w:tcBorders/>
            <w:shd w:fill="FFFFFF" w:val="clear"/>
            <w:vAlign w:val="center"/>
          </w:tcPr>
          <w:p>
            <w:pPr>
              <w:pStyle w:val="TableContents"/>
              <w:bidi w:val="0"/>
              <w:spacing w:before="0" w:after="283"/>
              <w:jc w:val="left"/>
              <w:rPr/>
            </w:pPr>
            <w:r>
              <w:rPr/>
              <w:t> </w:t>
            </w:r>
            <w:bookmarkStart w:id="123" w:name=".amt.B33"/>
            <w:bookmarkStart w:id="124" w:name=".amt.B34"/>
            <w:bookmarkEnd w:id="123"/>
            <w:bookmarkEnd w:id="124"/>
          </w:p>
        </w:tc>
        <w:tc>
          <w:tcPr>
            <w:tcW w:w="380" w:type="dxa"/>
            <w:tcBorders/>
            <w:shd w:fill="FFFFFF" w:val="clear"/>
            <w:vAlign w:val="center"/>
          </w:tcPr>
          <w:p>
            <w:pPr>
              <w:pStyle w:val="TableContents"/>
              <w:bidi w:val="0"/>
              <w:spacing w:before="0" w:after="283"/>
              <w:jc w:val="right"/>
              <w:rPr/>
            </w:pPr>
            <w:r>
              <w:rPr/>
              <w:t> </w:t>
            </w:r>
            <w:bookmarkStart w:id="125" w:name=".trail.B33"/>
            <w:bookmarkStart w:id="126" w:name=".trail.B34"/>
            <w:bookmarkEnd w:id="125"/>
            <w:bookmarkEnd w:id="126"/>
          </w:p>
        </w:tc>
        <w:tc>
          <w:tcPr>
            <w:tcW w:w="60" w:type="dxa"/>
            <w:tcBorders/>
            <w:shd w:fill="FFFFFF" w:val="clear"/>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Dilution per share to investors participating in this offering</w:t>
            </w:r>
            <w:bookmarkStart w:id="127" w:name=".lead.B21"/>
            <w:bookmarkStart w:id="128" w:name=".lead.B22"/>
            <w:bookmarkEnd w:id="127"/>
            <w:bookmarkEnd w:id="128"/>
          </w:p>
        </w:tc>
        <w:tc>
          <w:tcPr>
            <w:tcW w:w="60" w:type="dxa"/>
            <w:tcBorders/>
            <w:shd w:fill="CCEEFF" w:val="clear"/>
            <w:vAlign w:val="center"/>
          </w:tcPr>
          <w:p>
            <w:pPr>
              <w:pStyle w:val="TableContents"/>
              <w:bidi w:val="0"/>
              <w:spacing w:before="0" w:after="283"/>
              <w:jc w:val="left"/>
              <w:rPr/>
            </w:pPr>
            <w:r>
              <w:rPr/>
              <w:t> </w:t>
            </w:r>
            <w:bookmarkStart w:id="129" w:name=".symb.B21"/>
            <w:bookmarkStart w:id="130" w:name=".symb.B22"/>
            <w:bookmarkEnd w:id="129"/>
            <w:bookmarkEnd w:id="130"/>
          </w:p>
        </w:tc>
        <w:tc>
          <w:tcPr>
            <w:tcW w:w="125" w:type="dxa"/>
            <w:tcBorders/>
            <w:shd w:fill="CCEEFF" w:val="clear"/>
            <w:vAlign w:val="center"/>
          </w:tcPr>
          <w:p>
            <w:pPr>
              <w:pStyle w:val="TableContents"/>
              <w:bidi w:val="0"/>
              <w:spacing w:before="0" w:after="283"/>
              <w:jc w:val="left"/>
              <w:rPr/>
            </w:pPr>
            <w:r>
              <w:rPr/>
              <w:t> </w:t>
            </w:r>
            <w:bookmarkStart w:id="131" w:name=".amt.B21"/>
            <w:bookmarkStart w:id="132" w:name=".amt.B22"/>
            <w:bookmarkEnd w:id="131"/>
            <w:bookmarkEnd w:id="132"/>
          </w:p>
        </w:tc>
        <w:tc>
          <w:tcPr>
            <w:tcW w:w="440" w:type="dxa"/>
            <w:tcBorders/>
            <w:shd w:fill="CCEEFF" w:val="clear"/>
            <w:vAlign w:val="center"/>
          </w:tcPr>
          <w:p>
            <w:pPr>
              <w:pStyle w:val="TableContents"/>
              <w:bidi w:val="0"/>
              <w:spacing w:before="0" w:after="283"/>
              <w:jc w:val="right"/>
              <w:rPr/>
            </w:pPr>
            <w:r>
              <w:rPr/>
              <w:t> </w:t>
            </w:r>
            <w:bookmarkStart w:id="133" w:name=".trail.B21"/>
            <w:bookmarkStart w:id="134" w:name=".trail.B22"/>
            <w:bookmarkEnd w:id="133"/>
            <w:bookmarkEnd w:id="134"/>
          </w:p>
        </w:tc>
        <w:tc>
          <w:tcPr>
            <w:tcW w:w="80" w:type="dxa"/>
            <w:tcBorders/>
            <w:shd w:fill="CCEEFF" w:val="clear"/>
            <w:vAlign w:val="center"/>
          </w:tcPr>
          <w:p>
            <w:pPr>
              <w:pStyle w:val="TableContents"/>
              <w:bidi w:val="0"/>
              <w:spacing w:before="0" w:after="283"/>
              <w:jc w:val="left"/>
              <w:rPr/>
            </w:pPr>
            <w:r>
              <w:rPr/>
              <w:t> </w:t>
            </w:r>
            <w:bookmarkStart w:id="135" w:name=".lead.31"/>
            <w:bookmarkStart w:id="136" w:name=".lead.32"/>
            <w:bookmarkEnd w:id="135"/>
            <w:bookmarkEnd w:id="136"/>
          </w:p>
        </w:tc>
        <w:tc>
          <w:tcPr>
            <w:tcW w:w="60" w:type="dxa"/>
            <w:tcBorders/>
            <w:shd w:fill="CCEEFF" w:val="clear"/>
            <w:vAlign w:val="center"/>
          </w:tcPr>
          <w:p>
            <w:pPr>
              <w:pStyle w:val="TableContents"/>
              <w:bidi w:val="0"/>
              <w:spacing w:before="0" w:after="283"/>
              <w:ind w:left="0" w:right="0" w:hanging="0"/>
              <w:jc w:val="left"/>
              <w:rPr/>
            </w:pPr>
            <w:r>
              <w:rPr/>
              <w:t> </w:t>
            </w:r>
            <w:bookmarkStart w:id="137" w:name=".symb.31"/>
            <w:bookmarkStart w:id="138" w:name=".symb.32"/>
            <w:bookmarkEnd w:id="137"/>
            <w:bookmarkEnd w:id="13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9" w:name=".amt.31"/>
            <w:bookmarkStart w:id="140" w:name=".amt.32"/>
            <w:bookmarkEnd w:id="139"/>
            <w:bookmarkEnd w:id="140"/>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bookmarkStart w:id="141" w:name=".trail.31"/>
            <w:bookmarkStart w:id="142" w:name=".trail.32"/>
            <w:bookmarkEnd w:id="141"/>
            <w:bookmarkEnd w:id="14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The foregoing tables and calculations (other than the historical net tangible book value (deficit) calculations) are based on </w:t>
      </w:r>
      <w:bookmarkStart w:id="143" w:name="led401382F202341116838405299661"/>
      <w:bookmarkEnd w:id="143"/>
      <w:r>
        <w:rPr>
          <w:rFonts w:ascii="Times New Roman" w:hAnsi="Times New Roman"/>
          <w:caps w:val="false"/>
          <w:smallCaps w:val="false"/>
          <w:sz w:val="20"/>
        </w:rPr>
        <w:t xml:space="preserve">12,778,307 shares of our common stock outstanding as of </w:t>
      </w:r>
      <w:bookmarkStart w:id="144" w:name="led401375F202482617273735874781"/>
      <w:bookmarkEnd w:id="144"/>
      <w:r>
        <w:rPr>
          <w:rFonts w:ascii="Times New Roman" w:hAnsi="Times New Roman"/>
          <w:caps w:val="false"/>
          <w:smallCaps w:val="false"/>
          <w:sz w:val="20"/>
        </w:rPr>
        <w:t>June 30, 2026, and excludes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145" w:name="led608466F20248261727374029889"/>
            <w:bookmarkEnd w:id="145"/>
            <w:r>
              <w:rPr>
                <w:rFonts w:ascii="Times New Roman;Times;serif" w:hAnsi="Times New Roman;Times;serif"/>
                <w:caps w:val="false"/>
                <w:smallCaps w:val="false"/>
                <w:sz w:val="20"/>
              </w:rPr>
              <w:t xml:space="preserve">3,458,957 shares of common stock issuable upon exercise of stock options outstanding as of </w:t>
            </w:r>
            <w:bookmarkStart w:id="146" w:name="led401375F202482617273735874782"/>
            <w:bookmarkEnd w:id="146"/>
            <w:r>
              <w:rPr>
                <w:rFonts w:ascii="Times New Roman;Times;serif" w:hAnsi="Times New Roman;Times;serif"/>
                <w:caps w:val="false"/>
                <w:smallCaps w:val="false"/>
                <w:sz w:val="20"/>
              </w:rPr>
              <w:t xml:space="preserve">June 30, 2026 with a weighted-average exercise price of </w:t>
            </w:r>
            <w:bookmarkStart w:id="147" w:name="led608466F20248261727374040161"/>
            <w:bookmarkEnd w:id="147"/>
            <w:r>
              <w:rPr>
                <w:rFonts w:ascii="Times New Roman;Times;serif" w:hAnsi="Times New Roman;Times;serif"/>
                <w:caps w:val="false"/>
                <w:smallCaps w:val="false"/>
                <w:sz w:val="20"/>
              </w:rPr>
              <w:t>$17.81 per share;</w:t>
            </w:r>
          </w:p>
        </w:tc>
      </w:tr>
    </w:tbl>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70"/>
        <w:gridCol w:w="85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148" w:name="led608466F20248261727374047737"/>
            <w:bookmarkEnd w:id="148"/>
            <w:r>
              <w:rPr>
                <w:rFonts w:ascii="Times New Roman;Times;serif" w:hAnsi="Times New Roman;Times;serif"/>
                <w:caps w:val="false"/>
                <w:smallCaps w:val="false"/>
                <w:sz w:val="20"/>
              </w:rPr>
              <w:t xml:space="preserve">853,764 shares of common stock reserved for future grant under our 2020 Stock Plan as of </w:t>
            </w:r>
            <w:bookmarkStart w:id="149" w:name="led401375F202482617273735874783"/>
            <w:bookmarkEnd w:id="149"/>
            <w:r>
              <w:rPr>
                <w:rFonts w:ascii="Times New Roman;Times;serif" w:hAnsi="Times New Roman;Times;serif"/>
                <w:caps w:val="false"/>
                <w:smallCaps w:val="false"/>
                <w:sz w:val="20"/>
              </w:rPr>
              <w:t>June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150" w:name="led608466F2026061767725240912"/>
            <w:bookmarkEnd w:id="150"/>
            <w:r>
              <w:rPr>
                <w:rFonts w:ascii="Times New Roman;Times;serif" w:hAnsi="Times New Roman;Times;serif"/>
                <w:caps w:val="false"/>
                <w:smallCaps w:val="false"/>
                <w:sz w:val="20"/>
              </w:rPr>
              <w:t xml:space="preserve">7,910,247 shares of common stock issuable upon exercise of warrants outstanding as of </w:t>
            </w:r>
            <w:bookmarkStart w:id="151" w:name="led401375F202482617273735874784"/>
            <w:bookmarkEnd w:id="151"/>
            <w:r>
              <w:rPr>
                <w:rFonts w:ascii="Times New Roman;Times;serif" w:hAnsi="Times New Roman;Times;serif"/>
                <w:caps w:val="false"/>
                <w:smallCaps w:val="false"/>
                <w:sz w:val="20"/>
              </w:rPr>
              <w:t xml:space="preserve">June 30, 2026 with a weighted-average exercise price of </w:t>
            </w:r>
            <w:bookmarkStart w:id="152" w:name="led608466F2026021767319869851"/>
            <w:bookmarkEnd w:id="152"/>
            <w:r>
              <w:rPr>
                <w:rFonts w:ascii="Times New Roman;Times;serif" w:hAnsi="Times New Roman;Times;serif"/>
                <w:caps w:val="false"/>
                <w:smallCaps w:val="false"/>
                <w:sz w:val="20"/>
              </w:rPr>
              <w:t>$13.33 per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up to </w:t>
            </w:r>
            <w:bookmarkStart w:id="153" w:name="led608466F20248261727374089927"/>
            <w:bookmarkEnd w:id="153"/>
            <w:r>
              <w:rPr>
                <w:rFonts w:ascii="Times New Roman;Times;serif" w:hAnsi="Times New Roman;Times;serif"/>
                <w:caps w:val="false"/>
                <w:smallCaps w:val="false"/>
                <w:sz w:val="20"/>
              </w:rPr>
              <w:t xml:space="preserve">1,597,714 shares of common stock issuable upon conversion of our convertible notes payable outstanding as of </w:t>
            </w:r>
            <w:bookmarkStart w:id="154" w:name="led401375F202482617273735874785"/>
            <w:bookmarkEnd w:id="154"/>
            <w:r>
              <w:rPr>
                <w:rFonts w:ascii="Times New Roman;Times;serif" w:hAnsi="Times New Roman;Times;serif"/>
                <w:caps w:val="false"/>
                <w:smallCaps w:val="false"/>
                <w:sz w:val="20"/>
              </w:rPr>
              <w:t>June 30, 2026.</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stock options, warrants, or convertible notes payable outstanding as of </w:t>
      </w:r>
      <w:bookmarkStart w:id="155" w:name="led401375F202482617273735874786"/>
      <w:bookmarkEnd w:id="155"/>
      <w:r>
        <w:rPr>
          <w:rFonts w:ascii="Times New Roman" w:hAnsi="Times New Roman"/>
          <w:caps w:val="false"/>
          <w:smallCaps w:val="false"/>
          <w:sz w:val="20"/>
        </w:rPr>
        <w:t>June 30, 2026 are exercised or converted to shares of common stock at prices below the prices paid by investors participating in this offering, investors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56" w:name="S_DISTRIBUTION"/>
      <w:bookmarkEnd w:id="156"/>
      <w:r>
        <w:rPr>
          <w:rFonts w:ascii="Times New Roman;Times;serif" w:hAnsi="Times New Roman;Times;serif"/>
          <w:b/>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arranged for the sale of </w:t>
      </w:r>
      <w:bookmarkStart w:id="157" w:name="led401386F20268917889810341402"/>
      <w:bookmarkEnd w:id="157"/>
      <w:r>
        <w:rPr>
          <w:rFonts w:ascii="Times New Roman" w:hAnsi="Times New Roman"/>
          <w:caps w:val="false"/>
          <w:smallCaps w:val="false"/>
          <w:sz w:val="20"/>
        </w:rPr>
        <w:t xml:space="preserve">1,219,513 shares of our common stock at an offering price of </w:t>
      </w:r>
      <w:bookmarkStart w:id="158" w:name="led401386F20268917889810471211"/>
      <w:bookmarkEnd w:id="158"/>
      <w:r>
        <w:rPr>
          <w:rFonts w:ascii="Times New Roman" w:hAnsi="Times New Roman"/>
          <w:caps w:val="false"/>
          <w:smallCaps w:val="false"/>
          <w:sz w:val="20"/>
        </w:rPr>
        <w:t>$3.28 per share directly to the Purchasers pursuant to this prospectus supplement, the accompanying base prospectus and a </w:t>
      </w:r>
      <w:bookmarkStart w:id="159" w:name="led401375F20248261727368011799"/>
      <w:bookmarkEnd w:id="159"/>
      <w:r>
        <w:rPr>
          <w:rFonts w:ascii="Times New Roman" w:hAnsi="Times New Roman"/>
          <w:caps w:val="false"/>
          <w:smallCaps w:val="false"/>
          <w:sz w:val="20"/>
        </w:rPr>
        <w:t xml:space="preserve">Securities Purchase Agreement by and among us and the Purchasers. This offering is being made without a placement agent, underwriter, broker or dealer. On the closing date, we will issue the shares of common stock to the Purchasers and we will receive proceeds, before expenses, of approximately </w:t>
      </w:r>
      <w:bookmarkStart w:id="160" w:name="led401386F20268917889811935841"/>
      <w:bookmarkEnd w:id="160"/>
      <w:r>
        <w:rPr>
          <w:rFonts w:ascii="Times New Roman" w:hAnsi="Times New Roman"/>
          <w:caps w:val="false"/>
          <w:smallCaps w:val="false"/>
          <w:sz w:val="20"/>
        </w:rPr>
        <w:t>$4.0 million. We estimate the total offering expenses payable by us in connection with this offering will be insignificant. The closing of this offering is subject to customary closing conditions.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Certain of our directors and officers have agreed to purchase shares of our common stock in this offering with an aggregate purchase price of approximately </w:t>
      </w:r>
      <w:bookmarkStart w:id="161" w:name="led401386F202681117891499721591"/>
      <w:bookmarkEnd w:id="161"/>
      <w:r>
        <w:rPr>
          <w:rFonts w:ascii="Times New Roman" w:hAnsi="Times New Roman"/>
          <w:caps w:val="false"/>
          <w:smallCaps w:val="false"/>
          <w:sz w:val="20"/>
        </w:rPr>
        <w:t>$2.1 million at the offering price.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Pursuant to the </w:t>
      </w:r>
      <w:bookmarkStart w:id="162" w:name="led401375F202482617273680117993"/>
      <w:bookmarkEnd w:id="162"/>
      <w:r>
        <w:rPr>
          <w:rFonts w:ascii="Times New Roman" w:hAnsi="Times New Roman"/>
          <w:caps w:val="false"/>
          <w:smallCaps w:val="false"/>
          <w:sz w:val="20"/>
        </w:rPr>
        <w:t xml:space="preserve">Securities Purchase Agreement, we agreed to indemnify the Purchasers against certain liabilities, including liabilities under the Securities Act and liabilities arising from breaches of representations and warranties contained in the </w:t>
      </w:r>
      <w:bookmarkStart w:id="163" w:name="led401375F202482617273680117992"/>
      <w:bookmarkEnd w:id="163"/>
      <w:r>
        <w:rPr>
          <w:rFonts w:ascii="Times New Roman" w:hAnsi="Times New Roman"/>
          <w:caps w:val="false"/>
          <w:smallCaps w:val="false"/>
          <w:sz w:val="20"/>
        </w:rPr>
        <w:t xml:space="preserve">Securities Purchase Agreement. The </w:t>
      </w:r>
      <w:bookmarkStart w:id="164" w:name="led401375F202482617273680117991"/>
      <w:bookmarkEnd w:id="164"/>
      <w:r>
        <w:rPr>
          <w:rFonts w:ascii="Times New Roman" w:hAnsi="Times New Roman"/>
          <w:caps w:val="false"/>
          <w:smallCaps w:val="false"/>
          <w:sz w:val="20"/>
        </w:rPr>
        <w:t>Securities Purchase Agreement contains customary representations, warranties and agreements by us and customary conditions to closing.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the complete terms of the </w:t>
      </w:r>
      <w:bookmarkStart w:id="165" w:name="led401375F202482617273680117995"/>
      <w:bookmarkEnd w:id="165"/>
      <w:r>
        <w:rPr>
          <w:rFonts w:ascii="Times New Roman" w:hAnsi="Times New Roman"/>
          <w:caps w:val="false"/>
          <w:smallCaps w:val="false"/>
          <w:sz w:val="20"/>
        </w:rPr>
        <w:t>Securities Purchase Agreement, you should refer to the form of the </w:t>
      </w:r>
      <w:bookmarkStart w:id="166" w:name="led401375F202482617273680117994"/>
      <w:bookmarkEnd w:id="166"/>
      <w:r>
        <w:rPr>
          <w:rFonts w:ascii="Times New Roman" w:hAnsi="Times New Roman"/>
          <w:caps w:val="false"/>
          <w:smallCaps w:val="false"/>
          <w:sz w:val="20"/>
        </w:rPr>
        <w:t xml:space="preserve">Securities Purchase Agreement, which will be filed as an exhibit to a Current Report on Form 8-K filed with the SEC in connection with this offering and which is incorporated by reference into the registration statement of which this prospectus supplement forms a part. We expect to deliver the securities being offered pursuant to this prospectus supplement on or about </w:t>
      </w:r>
      <w:bookmarkStart w:id="167" w:name="led401375F20260617677190444071"/>
      <w:bookmarkEnd w:id="167"/>
      <w:r>
        <w:rPr>
          <w:rFonts w:ascii="Times New Roman" w:hAnsi="Times New Roman"/>
          <w:caps w:val="false"/>
          <w:smallCaps w:val="false"/>
          <w:sz w:val="20"/>
        </w:rPr>
        <w:t>September 16, 2026, subject to satisfaction of customary closing conditions.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8" w:name="S_LEGAL"/>
      <w:bookmarkEnd w:id="168"/>
      <w:r>
        <w:rPr>
          <w:rFonts w:ascii="Times New Roman;Times;serif" w:hAnsi="Times New Roman;Times;serif"/>
          <w:b/>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validity of the securities offered pursuant to this prospectus supplement will be passed upon by Dorsey &amp; Whitney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69" w:name="S_EXPERTS"/>
      <w:bookmarkEnd w:id="169"/>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financial statements of Clene Inc. as of and for the years ended </w:t>
      </w:r>
      <w:bookmarkStart w:id="170" w:name="led401375F20248261727318324459"/>
      <w:bookmarkEnd w:id="170"/>
      <w:r>
        <w:rPr>
          <w:rFonts w:ascii="Times New Roman" w:hAnsi="Times New Roman"/>
          <w:caps w:val="false"/>
          <w:smallCaps w:val="false"/>
          <w:sz w:val="20"/>
        </w:rPr>
        <w:t>December 31, 2025 and </w:t>
      </w:r>
      <w:bookmarkStart w:id="171" w:name="led401375F20248261727318330059"/>
      <w:bookmarkEnd w:id="171"/>
      <w:r>
        <w:rPr>
          <w:rFonts w:ascii="Times New Roman" w:hAnsi="Times New Roman"/>
          <w:caps w:val="false"/>
          <w:smallCaps w:val="false"/>
          <w:sz w:val="20"/>
        </w:rPr>
        <w:t>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72" w:name="S_MORE_INFO"/>
      <w:bookmarkEnd w:id="172"/>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including exhibits, under the Securities Act, with respect to the securities offered pursuant to this prospectus supplement. This prospectus supplement is part of the registration statement, but does not contain all of the information included in the registration statement or the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73" w:name="S_INCORPORATION_BY_REFERENCE"/>
      <w:bookmarkEnd w:id="173"/>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supplement incorporates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w:t>
            </w:r>
            <w:hyperlink r:id="rId4">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xml:space="preserve"> for the year ended </w:t>
            </w:r>
            <w:bookmarkStart w:id="174" w:name="led401375F20248261727318833875"/>
            <w:bookmarkEnd w:id="174"/>
            <w:r>
              <w:rPr>
                <w:rFonts w:ascii="Times New Roman" w:hAnsi="Times New Roman"/>
                <w:caps w:val="false"/>
                <w:smallCaps w:val="false"/>
                <w:sz w:val="20"/>
              </w:rPr>
              <w:t>December 31, 2025, filed with the SEC on March 17,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Quarterly Reports on Form 10-Q for the quarter ended </w:t>
            </w:r>
            <w:hyperlink r:id="rId5">
              <w:r>
                <w:rPr>
                  <w:rStyle w:val="InternetLink"/>
                  <w:rFonts w:ascii="Times New Roman" w:hAnsi="Times New Roman"/>
                  <w:caps w:val="false"/>
                  <w:smallCaps w:val="false"/>
                  <w:sz w:val="20"/>
                </w:rPr>
                <w:t>March 31, 2026</w:t>
              </w:r>
            </w:hyperlink>
            <w:r>
              <w:rPr>
                <w:rFonts w:ascii="Times New Roman" w:hAnsi="Times New Roman"/>
                <w:caps w:val="false"/>
                <w:smallCaps w:val="false"/>
                <w:sz w:val="20"/>
              </w:rPr>
              <w:t xml:space="preserve">, filed with the SEC on May 14, 2026, and the quarter ended </w:t>
            </w:r>
            <w:hyperlink r:id="rId6">
              <w:r>
                <w:rPr>
                  <w:rStyle w:val="InternetLink"/>
                  <w:rFonts w:ascii="Times New Roman" w:hAnsi="Times New Roman"/>
                  <w:caps w:val="false"/>
                  <w:smallCaps w:val="false"/>
                  <w:sz w:val="20"/>
                </w:rPr>
                <w:t>June 30, 2026</w:t>
              </w:r>
            </w:hyperlink>
            <w:r>
              <w:rPr>
                <w:rFonts w:ascii="Times New Roman" w:hAnsi="Times New Roman"/>
                <w:caps w:val="false"/>
                <w:smallCaps w:val="false"/>
                <w:sz w:val="20"/>
              </w:rPr>
              <w:t>, filed with the SEC on August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filed with the SEC on </w:t>
            </w:r>
            <w:hyperlink r:id="rId7">
              <w:r>
                <w:rPr>
                  <w:rStyle w:val="InternetLink"/>
                  <w:rFonts w:ascii="Times New Roman" w:hAnsi="Times New Roman"/>
                  <w:caps w:val="false"/>
                  <w:smallCaps w:val="false"/>
                  <w:sz w:val="20"/>
                </w:rPr>
                <w:t>January 12,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January 13,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rPr>
                <w:t>February 24,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rPr>
                <w:t>March 17,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rPr>
                <w:t>May 4, 2026</w:t>
              </w:r>
            </w:hyperlink>
            <w:r>
              <w:rPr>
                <w:rFonts w:ascii="Times New Roman" w:hAnsi="Times New Roman"/>
                <w:caps w:val="false"/>
                <w:smallCaps w:val="false"/>
                <w:sz w:val="20"/>
              </w:rPr>
              <w:t xml:space="preserve"> (with respect to Item 8.01 only), </w:t>
            </w:r>
            <w:hyperlink r:id="rId12">
              <w:r>
                <w:rPr>
                  <w:rStyle w:val="InternetLink"/>
                  <w:rFonts w:ascii="Times New Roman" w:hAnsi="Times New Roman"/>
                  <w:caps w:val="false"/>
                  <w:smallCaps w:val="false"/>
                  <w:sz w:val="20"/>
                </w:rPr>
                <w:t>May 5, 2026</w:t>
              </w:r>
            </w:hyperlink>
            <w:r>
              <w:rPr>
                <w:rFonts w:ascii="Times New Roman" w:hAnsi="Times New Roman"/>
                <w:caps w:val="false"/>
                <w:smallCaps w:val="false"/>
                <w:sz w:val="20"/>
              </w:rPr>
              <w:t xml:space="preserve">, </w:t>
            </w:r>
            <w:hyperlink r:id="rId13">
              <w:r>
                <w:rPr>
                  <w:rStyle w:val="InternetLink"/>
                  <w:rFonts w:ascii="Times New Roman" w:hAnsi="Times New Roman"/>
                  <w:caps w:val="false"/>
                  <w:smallCaps w:val="false"/>
                  <w:sz w:val="20"/>
                </w:rPr>
                <w:t>May 14, 2026</w:t>
              </w:r>
            </w:hyperlink>
            <w:r>
              <w:rPr>
                <w:rFonts w:ascii="Times New Roman" w:hAnsi="Times New Roman"/>
                <w:caps w:val="false"/>
                <w:smallCaps w:val="false"/>
                <w:sz w:val="20"/>
              </w:rPr>
              <w:t xml:space="preserve"> (with respect to Item 1.01 only), </w:t>
            </w:r>
            <w:hyperlink r:id="rId14">
              <w:r>
                <w:rPr>
                  <w:rStyle w:val="InternetLink"/>
                  <w:rFonts w:ascii="Times New Roman" w:hAnsi="Times New Roman"/>
                  <w:caps w:val="false"/>
                  <w:smallCaps w:val="false"/>
                  <w:sz w:val="20"/>
                </w:rPr>
                <w:t>May 22, 2026</w:t>
              </w:r>
            </w:hyperlink>
            <w:r>
              <w:rPr>
                <w:rFonts w:ascii="Times New Roman" w:hAnsi="Times New Roman"/>
                <w:caps w:val="false"/>
                <w:smallCaps w:val="false"/>
                <w:sz w:val="20"/>
              </w:rPr>
              <w:t>, and </w:t>
            </w:r>
            <w:hyperlink r:id="rId15">
              <w:r>
                <w:rPr>
                  <w:rStyle w:val="InternetLink"/>
                  <w:rFonts w:ascii="Times New Roman" w:hAnsi="Times New Roman"/>
                  <w:caps w:val="false"/>
                  <w:smallCaps w:val="false"/>
                  <w:sz w:val="20"/>
                </w:rPr>
                <w:t>August 10, 2026</w:t>
              </w:r>
            </w:hyperlink>
            <w:r>
              <w:rPr>
                <w:rFonts w:ascii="Times New Roman" w:hAnsi="Times New Roman"/>
                <w:caps w:val="false"/>
                <w:smallCaps w:val="false"/>
                <w:sz w:val="20"/>
              </w:rPr>
              <w:t xml:space="preserve"> (with respect to Item 8.01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information specifically incorporated by reference into our Annual Report on </w:t>
            </w:r>
            <w:hyperlink r:id="rId16">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xml:space="preserve"> for the year ended </w:t>
            </w:r>
            <w:bookmarkStart w:id="175" w:name="led401375F20248261727318850101"/>
            <w:bookmarkEnd w:id="175"/>
            <w:r>
              <w:rPr>
                <w:rFonts w:ascii="Times New Roman" w:hAnsi="Times New Roman"/>
                <w:caps w:val="false"/>
                <w:smallCaps w:val="false"/>
                <w:sz w:val="20"/>
              </w:rPr>
              <w:t xml:space="preserve">December 31, 2025 from our Definitive Proxy Statement on </w:t>
            </w:r>
            <w:hyperlink r:id="rId17">
              <w:r>
                <w:rPr>
                  <w:rStyle w:val="InternetLink"/>
                  <w:rFonts w:ascii="Times New Roman" w:hAnsi="Times New Roman"/>
                  <w:caps w:val="false"/>
                  <w:smallCaps w:val="false"/>
                  <w:sz w:val="20"/>
                </w:rPr>
                <w:t>Schedule 14A</w:t>
              </w:r>
            </w:hyperlink>
            <w:r>
              <w:rPr>
                <w:rFonts w:ascii="Times New Roman" w:hAnsi="Times New Roman"/>
                <w:caps w:val="false"/>
                <w:smallCaps w:val="false"/>
                <w:sz w:val="20"/>
              </w:rPr>
              <w:t>, filed with the SEC on April 10, 2026; and</w:t>
            </w:r>
          </w:p>
        </w:tc>
      </w:tr>
    </w:tbl>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common stock contained in </w:t>
            </w:r>
            <w:hyperlink r:id="rId18">
              <w:r>
                <w:rPr>
                  <w:rStyle w:val="InternetLink"/>
                  <w:rFonts w:ascii="Times New Roman" w:hAnsi="Times New Roman"/>
                  <w:caps w:val="false"/>
                  <w:smallCaps w:val="false"/>
                  <w:sz w:val="20"/>
                </w:rPr>
                <w:t>Exhibit 4.1</w:t>
              </w:r>
            </w:hyperlink>
            <w:r>
              <w:rPr>
                <w:rFonts w:ascii="Times New Roman" w:hAnsi="Times New Roman"/>
                <w:caps w:val="false"/>
                <w:smallCaps w:val="false"/>
                <w:sz w:val="20"/>
              </w:rPr>
              <w:t xml:space="preserve"> to our Form 10-K filed with the SEC on March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other documents.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supplement is delivered, a copy of any or all of the information that has been incorporated by reference in the prospectus supplement but not delivered with the prospectus supplement. You may request a copy of any documents incorporated by reference in this prospectus supplement and the accompanying base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Clene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Salt Lake City, Utah 84121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(801) 676-9695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supplement.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$160,000,000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6"/>
        </w:rPr>
      </w:pPr>
      <w:r>
        <w:rPr>
          <w:rFonts w:ascii="Times New Roman" w:hAnsi="Times New Roman"/>
          <w:b/>
          <w:caps w:val="false"/>
          <w:smallCaps w:val="false"/>
          <w:sz w:val="56"/>
        </w:rPr>
        <w:t>Clene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Common Stock</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Preferred Stock</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Debt Securities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Warrants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From time to time, we may offer and sell up to $160,000,000 aggregate dollar amount of our common stock, preferred stock, debt securities, warrants to purchase our common stock, preferred stock or debt securities, and/or units consisting of some or all of these securities, in any combination, together or separately, in one or more offerings, in amounts, at prices and on the terms that will be determined at the time of the offering and which will be set forth in a prospectus supplement. The prospectus supplement may also add, update or change information contained in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securities may be sold directly to investors, through agents designated from time to time or to or through underwriters or dealers, on a continuous or delayed basis.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read this prospectus and any prospectus supplement or amendment carefully before you invest in our securities. This prospectus may not be used to consummate sales of these securities unless it is accompanied by a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and public warrants are listed on the Nasdaq Capital Market (“Nasdaq”) under the symbols “CLNN” and “CLNNW,” respectively. On April 24, 2025, the last reported sale price of our common stock and public warrants on Nasdaq was $3.17 and $0.0345,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April 24, 2025, the aggregate market value of our common stock held by our non-affiliates, as calculated pursuant to the rules of the SEC, was approximately $34.7 million, based upon 7,568,652 shares of our outstanding common stock held by non-affiliates at the per share price of $4.58, the closing sale price of our common stock on Nasdaq on March 7, 2025 which is within 60 days of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 We have sold $9.6 million of securities in reliance on General Instruction I.B.6 of Form S-3 during the 12 calendar months prior to and including the date of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Investing in our securities involves a high degree of risk. See “</w:t>
      </w:r>
      <w:r>
        <w:rPr>
          <w:rFonts w:ascii="Times New Roman" w:hAnsi="Times New Roman"/>
          <w:b/>
          <w:i/>
          <w:caps w:val="false"/>
          <w:smallCaps w:val="false"/>
          <w:sz w:val="20"/>
        </w:rPr>
        <w:t>Risk Factors”</w:t>
      </w:r>
      <w:r>
        <w:rPr>
          <w:rFonts w:ascii="Times New Roman" w:hAnsi="Times New Roman"/>
          <w:b/>
          <w:caps w:val="false"/>
          <w:smallCaps w:val="false"/>
          <w:sz w:val="20"/>
        </w:rPr>
        <w:t xml:space="preserve"> section on page 9 of this prospectus and other risk factors contained in any applicable prospectus supplement and in the documents incorporated by reference herein and therein.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that term is defined under the federal securities laws and, as such, we have elected to comply with certain reduced public company reporting requirements and may elect to do so in future filings.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date of this prospectus is April 25,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230"/>
        <w:gridCol w:w="38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ABOUT_PROSPECTUS">
              <w:r>
                <w:rPr>
                  <w:rStyle w:val="InternetLink"/>
                  <w:rFonts w:ascii="Times New Roman" w:hAnsi="Times New Roman"/>
                  <w:caps w:val="false"/>
                  <w:smallCaps w:val="false"/>
                  <w:sz w:val="20"/>
                  <w:u w:val="single"/>
                </w:rPr>
                <w:t>ABOUT THIS PROSPECTUS</w:t>
              </w:r>
            </w:hyperlink>
          </w:p>
        </w:tc>
        <w:tc>
          <w:tcPr>
            <w:tcW w:w="380" w:type="dxa"/>
            <w:tcBorders/>
            <w:shd w:fill="CCEEFF" w:val="clear"/>
            <w:vAlign w:val="center"/>
          </w:tcPr>
          <w:p>
            <w:pPr>
              <w:pStyle w:val="TableContents"/>
              <w:bidi w:val="0"/>
              <w:spacing w:before="0" w:after="283"/>
              <w:jc w:val="center"/>
              <w:rPr/>
            </w:pPr>
            <w:hyperlink w:anchor="ABOUT_PROSPECTUS">
              <w:r>
                <w:rPr>
                  <w:rStyle w:val="InternetLink"/>
                  <w:u w:val="single"/>
                </w:rPr>
                <w:t>1</w:t>
              </w:r>
            </w:hyperlink>
          </w:p>
        </w:tc>
      </w:tr>
      <w:tr>
        <w:trPr/>
        <w:tc>
          <w:tcPr>
            <w:tcW w:w="6230" w:type="dxa"/>
            <w:tcBorders/>
            <w:shd w:fill="FFFFFF" w:val="clear"/>
            <w:vAlign w:val="center"/>
          </w:tcPr>
          <w:p>
            <w:pPr>
              <w:pStyle w:val="TableContents"/>
              <w:bidi w:val="0"/>
              <w:spacing w:before="0" w:after="0"/>
              <w:ind w:left="0" w:right="0" w:hanging="0"/>
              <w:jc w:val="left"/>
              <w:rPr/>
            </w:pPr>
            <w:hyperlink w:anchor="CAUTIONARY_NOTE">
              <w:r>
                <w:rPr>
                  <w:rStyle w:val="InternetLink"/>
                  <w:rFonts w:ascii="Times New Roman" w:hAnsi="Times New Roman"/>
                  <w:caps w:val="false"/>
                  <w:smallCaps w:val="false"/>
                  <w:sz w:val="20"/>
                  <w:u w:val="single"/>
                </w:rPr>
                <w:t>CAUTIONARY NOTE REGARDING FORWARD-LOOKING STATEMENTS</w:t>
              </w:r>
            </w:hyperlink>
          </w:p>
        </w:tc>
        <w:tc>
          <w:tcPr>
            <w:tcW w:w="380" w:type="dxa"/>
            <w:tcBorders/>
            <w:shd w:fill="FFFFFF" w:val="clear"/>
            <w:vAlign w:val="center"/>
          </w:tcPr>
          <w:p>
            <w:pPr>
              <w:pStyle w:val="TableContents"/>
              <w:bidi w:val="0"/>
              <w:spacing w:before="0" w:after="283"/>
              <w:jc w:val="center"/>
              <w:rPr/>
            </w:pPr>
            <w:hyperlink w:anchor="CAUTIONARY_NOTE">
              <w:r>
                <w:rPr>
                  <w:rStyle w:val="InternetLink"/>
                  <w:u w:val="single"/>
                </w:rPr>
                <w:t>2</w:t>
              </w:r>
            </w:hyperlink>
          </w:p>
        </w:tc>
      </w:tr>
      <w:tr>
        <w:trPr/>
        <w:tc>
          <w:tcPr>
            <w:tcW w:w="6230" w:type="dxa"/>
            <w:tcBorders/>
            <w:shd w:fill="CCEEFF" w:val="clear"/>
            <w:vAlign w:val="center"/>
          </w:tcPr>
          <w:p>
            <w:pPr>
              <w:pStyle w:val="TableContents"/>
              <w:bidi w:val="0"/>
              <w:spacing w:before="0" w:after="0"/>
              <w:ind w:left="0" w:right="0" w:hanging="0"/>
              <w:jc w:val="left"/>
              <w:rPr/>
            </w:pPr>
            <w:hyperlink w:anchor="MARKET_DATA">
              <w:r>
                <w:rPr>
                  <w:rStyle w:val="InternetLink"/>
                  <w:rFonts w:ascii="Times New Roman" w:hAnsi="Times New Roman"/>
                  <w:caps w:val="false"/>
                  <w:smallCaps w:val="false"/>
                  <w:sz w:val="20"/>
                  <w:u w:val="single"/>
                </w:rPr>
                <w:t>MARKET AND INDUSTRY DATA</w:t>
              </w:r>
            </w:hyperlink>
          </w:p>
        </w:tc>
        <w:tc>
          <w:tcPr>
            <w:tcW w:w="380" w:type="dxa"/>
            <w:tcBorders/>
            <w:shd w:fill="CCEEFF" w:val="clear"/>
            <w:vAlign w:val="center"/>
          </w:tcPr>
          <w:p>
            <w:pPr>
              <w:pStyle w:val="TableContents"/>
              <w:bidi w:val="0"/>
              <w:spacing w:before="0" w:after="283"/>
              <w:jc w:val="center"/>
              <w:rPr/>
            </w:pPr>
            <w:hyperlink w:anchor="MARKET_DATA">
              <w:r>
                <w:rPr>
                  <w:rStyle w:val="InternetLink"/>
                  <w:u w:val="single"/>
                </w:rPr>
                <w:t>4</w:t>
              </w:r>
            </w:hyperlink>
          </w:p>
        </w:tc>
      </w:tr>
      <w:tr>
        <w:trPr/>
        <w:tc>
          <w:tcPr>
            <w:tcW w:w="6230" w:type="dxa"/>
            <w:tcBorders/>
            <w:shd w:fill="FFFFFF" w:val="clear"/>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u w:val="single"/>
                </w:rPr>
                <w:t>PROSPECTUS SUMMARY</w:t>
              </w:r>
            </w:hyperlink>
          </w:p>
        </w:tc>
        <w:tc>
          <w:tcPr>
            <w:tcW w:w="380" w:type="dxa"/>
            <w:tcBorders/>
            <w:shd w:fill="FFFFFF" w:val="clear"/>
            <w:vAlign w:val="center"/>
          </w:tcPr>
          <w:p>
            <w:pPr>
              <w:pStyle w:val="TableContents"/>
              <w:bidi w:val="0"/>
              <w:spacing w:before="0" w:after="283"/>
              <w:jc w:val="center"/>
              <w:rPr/>
            </w:pPr>
            <w:hyperlink w:anchor="SUMMARY">
              <w:r>
                <w:rPr>
                  <w:rStyle w:val="InternetLink"/>
                  <w:u w:val="single"/>
                </w:rPr>
                <w:t>5</w:t>
              </w:r>
            </w:hyperlink>
          </w:p>
        </w:tc>
      </w:tr>
      <w:tr>
        <w:trPr/>
        <w:tc>
          <w:tcPr>
            <w:tcW w:w="6230" w:type="dxa"/>
            <w:tcBorders/>
            <w:shd w:fill="CCEEFF" w:val="clear"/>
            <w:vAlign w:val="center"/>
          </w:tcPr>
          <w:p>
            <w:pPr>
              <w:pStyle w:val="TableContents"/>
              <w:bidi w:val="0"/>
              <w:spacing w:before="0" w:after="0"/>
              <w:ind w:left="0" w:right="0" w:hanging="0"/>
              <w:jc w:val="left"/>
              <w:rPr/>
            </w:pPr>
            <w:hyperlink w:anchor="RISK_FACTORS">
              <w:r>
                <w:rPr>
                  <w:rStyle w:val="InternetLink"/>
                  <w:rFonts w:ascii="Times New Roman" w:hAnsi="Times New Roman"/>
                  <w:caps w:val="false"/>
                  <w:smallCaps w:val="false"/>
                  <w:sz w:val="20"/>
                  <w:u w:val="single"/>
                </w:rPr>
                <w:t>RISK FACTORS</w:t>
              </w:r>
            </w:hyperlink>
          </w:p>
        </w:tc>
        <w:tc>
          <w:tcPr>
            <w:tcW w:w="380" w:type="dxa"/>
            <w:tcBorders/>
            <w:shd w:fill="CCEEFF" w:val="clear"/>
            <w:vAlign w:val="center"/>
          </w:tcPr>
          <w:p>
            <w:pPr>
              <w:pStyle w:val="TableContents"/>
              <w:bidi w:val="0"/>
              <w:spacing w:before="0" w:after="283"/>
              <w:jc w:val="center"/>
              <w:rPr/>
            </w:pPr>
            <w:hyperlink w:anchor="RISK_FACTORS">
              <w:r>
                <w:rPr>
                  <w:rStyle w:val="InternetLink"/>
                  <w:u w:val="single"/>
                </w:rPr>
                <w:t>9</w:t>
              </w:r>
            </w:hyperlink>
          </w:p>
        </w:tc>
      </w:tr>
      <w:tr>
        <w:trPr/>
        <w:tc>
          <w:tcPr>
            <w:tcW w:w="6230" w:type="dxa"/>
            <w:tcBorders/>
            <w:shd w:fill="FFFFFF" w:val="clear"/>
            <w:vAlign w:val="center"/>
          </w:tcPr>
          <w:p>
            <w:pPr>
              <w:pStyle w:val="TableContents"/>
              <w:bidi w:val="0"/>
              <w:spacing w:before="0" w:after="0"/>
              <w:ind w:left="0" w:right="0" w:hanging="0"/>
              <w:jc w:val="left"/>
              <w:rPr/>
            </w:pPr>
            <w:hyperlink w:anchor="PROCEEDS">
              <w:r>
                <w:rPr>
                  <w:rStyle w:val="InternetLink"/>
                  <w:rFonts w:ascii="Times New Roman" w:hAnsi="Times New Roman"/>
                  <w:caps w:val="false"/>
                  <w:smallCaps w:val="false"/>
                  <w:sz w:val="20"/>
                  <w:u w:val="single"/>
                </w:rPr>
                <w:t>USE OF PROCEEDS</w:t>
              </w:r>
            </w:hyperlink>
          </w:p>
        </w:tc>
        <w:tc>
          <w:tcPr>
            <w:tcW w:w="380" w:type="dxa"/>
            <w:tcBorders/>
            <w:shd w:fill="FFFFFF" w:val="clear"/>
            <w:vAlign w:val="center"/>
          </w:tcPr>
          <w:p>
            <w:pPr>
              <w:pStyle w:val="TableContents"/>
              <w:bidi w:val="0"/>
              <w:spacing w:before="0" w:after="283"/>
              <w:jc w:val="center"/>
              <w:rPr/>
            </w:pPr>
            <w:hyperlink w:anchor="PROCEEDS">
              <w:r>
                <w:rPr>
                  <w:rStyle w:val="InternetLink"/>
                  <w:u w:val="single"/>
                </w:rPr>
                <w:t>10</w:t>
              </w:r>
            </w:hyperlink>
          </w:p>
        </w:tc>
      </w:tr>
      <w:tr>
        <w:trPr/>
        <w:tc>
          <w:tcPr>
            <w:tcW w:w="6230" w:type="dxa"/>
            <w:tcBorders/>
            <w:shd w:fill="CCEEFF" w:val="clear"/>
            <w:vAlign w:val="center"/>
          </w:tcPr>
          <w:p>
            <w:pPr>
              <w:pStyle w:val="TableContents"/>
              <w:bidi w:val="0"/>
              <w:spacing w:before="0" w:after="0"/>
              <w:ind w:left="0" w:right="0" w:hanging="0"/>
              <w:jc w:val="left"/>
              <w:rPr/>
            </w:pPr>
            <w:hyperlink w:anchor="CAPITAL_STOCK">
              <w:r>
                <w:rPr>
                  <w:rStyle w:val="InternetLink"/>
                  <w:rFonts w:ascii="Times New Roman" w:hAnsi="Times New Roman"/>
                  <w:caps w:val="false"/>
                  <w:smallCaps w:val="false"/>
                  <w:sz w:val="20"/>
                  <w:u w:val="single"/>
                </w:rPr>
                <w:t>DESCRIPTION OF CAPITAL STOCK</w:t>
              </w:r>
            </w:hyperlink>
          </w:p>
        </w:tc>
        <w:tc>
          <w:tcPr>
            <w:tcW w:w="380" w:type="dxa"/>
            <w:tcBorders/>
            <w:shd w:fill="CCEEFF" w:val="clear"/>
            <w:vAlign w:val="center"/>
          </w:tcPr>
          <w:p>
            <w:pPr>
              <w:pStyle w:val="TableContents"/>
              <w:bidi w:val="0"/>
              <w:spacing w:before="0" w:after="283"/>
              <w:jc w:val="center"/>
              <w:rPr/>
            </w:pPr>
            <w:hyperlink w:anchor="CAPITAL_STOCK">
              <w:r>
                <w:rPr>
                  <w:rStyle w:val="InternetLink"/>
                  <w:u w:val="single"/>
                </w:rPr>
                <w:t>11</w:t>
              </w:r>
            </w:hyperlink>
          </w:p>
        </w:tc>
      </w:tr>
      <w:tr>
        <w:trPr/>
        <w:tc>
          <w:tcPr>
            <w:tcW w:w="6230" w:type="dxa"/>
            <w:tcBorders/>
            <w:shd w:fill="FFFFFF" w:val="clear"/>
            <w:vAlign w:val="center"/>
          </w:tcPr>
          <w:p>
            <w:pPr>
              <w:pStyle w:val="TableContents"/>
              <w:bidi w:val="0"/>
              <w:spacing w:before="0" w:after="0"/>
              <w:ind w:left="0" w:right="0" w:hanging="0"/>
              <w:jc w:val="left"/>
              <w:rPr/>
            </w:pPr>
            <w:hyperlink w:anchor="DEBT_SECURITIES">
              <w:r>
                <w:rPr>
                  <w:rStyle w:val="InternetLink"/>
                  <w:rFonts w:ascii="Times New Roman" w:hAnsi="Times New Roman"/>
                  <w:caps w:val="false"/>
                  <w:smallCaps w:val="false"/>
                  <w:sz w:val="20"/>
                  <w:u w:val="single"/>
                </w:rPr>
                <w:t>DESCRIPTION OF DEBT SECURITIES</w:t>
              </w:r>
            </w:hyperlink>
          </w:p>
        </w:tc>
        <w:tc>
          <w:tcPr>
            <w:tcW w:w="380" w:type="dxa"/>
            <w:tcBorders/>
            <w:shd w:fill="FFFFFF" w:val="clear"/>
            <w:vAlign w:val="center"/>
          </w:tcPr>
          <w:p>
            <w:pPr>
              <w:pStyle w:val="TableContents"/>
              <w:bidi w:val="0"/>
              <w:spacing w:before="0" w:after="283"/>
              <w:jc w:val="center"/>
              <w:rPr/>
            </w:pPr>
            <w:hyperlink w:anchor="DEBT_SECURITIES">
              <w:r>
                <w:rPr>
                  <w:rStyle w:val="InternetLink"/>
                  <w:u w:val="single"/>
                </w:rPr>
                <w:t>16</w:t>
              </w:r>
            </w:hyperlink>
          </w:p>
        </w:tc>
      </w:tr>
      <w:tr>
        <w:trPr/>
        <w:tc>
          <w:tcPr>
            <w:tcW w:w="6230" w:type="dxa"/>
            <w:tcBorders/>
            <w:shd w:fill="CCEEFF" w:val="clear"/>
            <w:vAlign w:val="center"/>
          </w:tcPr>
          <w:p>
            <w:pPr>
              <w:pStyle w:val="TableContents"/>
              <w:bidi w:val="0"/>
              <w:spacing w:before="0" w:after="0"/>
              <w:ind w:left="0" w:right="0" w:hanging="0"/>
              <w:jc w:val="left"/>
              <w:rPr/>
            </w:pPr>
            <w:hyperlink w:anchor="WARRANTS">
              <w:r>
                <w:rPr>
                  <w:rStyle w:val="InternetLink"/>
                  <w:rFonts w:ascii="Times New Roman" w:hAnsi="Times New Roman"/>
                  <w:caps w:val="false"/>
                  <w:smallCaps w:val="false"/>
                  <w:sz w:val="20"/>
                  <w:u w:val="single"/>
                </w:rPr>
                <w:t>DESCRIPTION OF WARRANTS</w:t>
              </w:r>
            </w:hyperlink>
          </w:p>
        </w:tc>
        <w:tc>
          <w:tcPr>
            <w:tcW w:w="380" w:type="dxa"/>
            <w:tcBorders/>
            <w:shd w:fill="CCEEFF" w:val="clear"/>
            <w:vAlign w:val="center"/>
          </w:tcPr>
          <w:p>
            <w:pPr>
              <w:pStyle w:val="TableContents"/>
              <w:bidi w:val="0"/>
              <w:spacing w:before="0" w:after="283"/>
              <w:jc w:val="center"/>
              <w:rPr/>
            </w:pPr>
            <w:hyperlink w:anchor="WARRANTS">
              <w:r>
                <w:rPr>
                  <w:rStyle w:val="InternetLink"/>
                  <w:u w:val="single"/>
                </w:rPr>
                <w:t>22</w:t>
              </w:r>
            </w:hyperlink>
          </w:p>
        </w:tc>
      </w:tr>
      <w:tr>
        <w:trPr/>
        <w:tc>
          <w:tcPr>
            <w:tcW w:w="6230" w:type="dxa"/>
            <w:tcBorders/>
            <w:shd w:fill="FFFFFF" w:val="clear"/>
            <w:vAlign w:val="center"/>
          </w:tcPr>
          <w:p>
            <w:pPr>
              <w:pStyle w:val="TableContents"/>
              <w:bidi w:val="0"/>
              <w:spacing w:before="0" w:after="0"/>
              <w:ind w:left="0" w:right="0" w:hanging="0"/>
              <w:jc w:val="left"/>
              <w:rPr/>
            </w:pPr>
            <w:hyperlink w:anchor="UNITS">
              <w:r>
                <w:rPr>
                  <w:rStyle w:val="InternetLink"/>
                  <w:rFonts w:ascii="Times New Roman" w:hAnsi="Times New Roman"/>
                  <w:caps w:val="false"/>
                  <w:smallCaps w:val="false"/>
                  <w:sz w:val="20"/>
                  <w:u w:val="single"/>
                </w:rPr>
                <w:t>DESCRIPTION OF UNITS</w:t>
              </w:r>
            </w:hyperlink>
          </w:p>
        </w:tc>
        <w:tc>
          <w:tcPr>
            <w:tcW w:w="380" w:type="dxa"/>
            <w:tcBorders/>
            <w:shd w:fill="FFFFFF" w:val="clear"/>
            <w:vAlign w:val="center"/>
          </w:tcPr>
          <w:p>
            <w:pPr>
              <w:pStyle w:val="TableContents"/>
              <w:bidi w:val="0"/>
              <w:spacing w:before="0" w:after="283"/>
              <w:jc w:val="center"/>
              <w:rPr/>
            </w:pPr>
            <w:hyperlink w:anchor="UNITS">
              <w:r>
                <w:rPr>
                  <w:rStyle w:val="InternetLink"/>
                  <w:u w:val="single"/>
                </w:rPr>
                <w:t>23</w:t>
              </w:r>
            </w:hyperlink>
          </w:p>
        </w:tc>
      </w:tr>
      <w:tr>
        <w:trPr/>
        <w:tc>
          <w:tcPr>
            <w:tcW w:w="6230" w:type="dxa"/>
            <w:tcBorders/>
            <w:shd w:fill="CCEEFF" w:val="clear"/>
            <w:vAlign w:val="center"/>
          </w:tcPr>
          <w:p>
            <w:pPr>
              <w:pStyle w:val="TableContents"/>
              <w:bidi w:val="0"/>
              <w:spacing w:before="0" w:after="0"/>
              <w:ind w:left="0" w:right="0" w:hanging="0"/>
              <w:jc w:val="left"/>
              <w:rPr/>
            </w:pPr>
            <w:hyperlink w:anchor="DISTRIBUTION">
              <w:r>
                <w:rPr>
                  <w:rStyle w:val="InternetLink"/>
                  <w:rFonts w:ascii="Times New Roman" w:hAnsi="Times New Roman"/>
                  <w:caps w:val="false"/>
                  <w:smallCaps w:val="false"/>
                  <w:sz w:val="20"/>
                  <w:u w:val="single"/>
                </w:rPr>
                <w:t>PLAN OF DISTRIBUTION</w:t>
              </w:r>
            </w:hyperlink>
          </w:p>
        </w:tc>
        <w:tc>
          <w:tcPr>
            <w:tcW w:w="380" w:type="dxa"/>
            <w:tcBorders/>
            <w:shd w:fill="CCEEFF" w:val="clear"/>
            <w:vAlign w:val="center"/>
          </w:tcPr>
          <w:p>
            <w:pPr>
              <w:pStyle w:val="TableContents"/>
              <w:bidi w:val="0"/>
              <w:spacing w:before="0" w:after="283"/>
              <w:jc w:val="center"/>
              <w:rPr/>
            </w:pPr>
            <w:hyperlink w:anchor="DISTRIBUTION">
              <w:r>
                <w:rPr>
                  <w:rStyle w:val="InternetLink"/>
                  <w:u w:val="single"/>
                </w:rPr>
                <w:t>24</w:t>
              </w:r>
            </w:hyperlink>
          </w:p>
        </w:tc>
      </w:tr>
      <w:tr>
        <w:trPr/>
        <w:tc>
          <w:tcPr>
            <w:tcW w:w="623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MATTERS</w:t>
              </w:r>
            </w:hyperlink>
          </w:p>
        </w:tc>
        <w:tc>
          <w:tcPr>
            <w:tcW w:w="380" w:type="dxa"/>
            <w:tcBorders/>
            <w:shd w:fill="FFFFFF" w:val="clear"/>
            <w:vAlign w:val="center"/>
          </w:tcPr>
          <w:p>
            <w:pPr>
              <w:pStyle w:val="TableContents"/>
              <w:bidi w:val="0"/>
              <w:spacing w:before="0" w:after="283"/>
              <w:jc w:val="center"/>
              <w:rPr/>
            </w:pPr>
            <w:hyperlink w:anchor="LEGAL">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380" w:type="dxa"/>
            <w:tcBorders/>
            <w:shd w:fill="CCEEFF" w:val="clear"/>
            <w:vAlign w:val="center"/>
          </w:tcPr>
          <w:p>
            <w:pPr>
              <w:pStyle w:val="TableContents"/>
              <w:bidi w:val="0"/>
              <w:spacing w:before="0" w:after="283"/>
              <w:jc w:val="center"/>
              <w:rPr/>
            </w:pPr>
            <w:hyperlink w:anchor="EXPERTS">
              <w:r>
                <w:rPr>
                  <w:rStyle w:val="InternetLink"/>
                  <w:u w:val="single"/>
                </w:rPr>
                <w:t>26</w:t>
              </w:r>
            </w:hyperlink>
          </w:p>
        </w:tc>
      </w:tr>
      <w:tr>
        <w:trPr/>
        <w:tc>
          <w:tcPr>
            <w:tcW w:w="6230" w:type="dxa"/>
            <w:tcBorders/>
            <w:shd w:fill="FFFFFF" w:val="clear"/>
            <w:vAlign w:val="center"/>
          </w:tcPr>
          <w:p>
            <w:pPr>
              <w:pStyle w:val="TableContents"/>
              <w:bidi w:val="0"/>
              <w:spacing w:before="0" w:after="0"/>
              <w:ind w:left="0" w:right="0" w:hanging="0"/>
              <w:jc w:val="left"/>
              <w:rPr/>
            </w:pPr>
            <w:hyperlink w:anchor="MORE_INFO">
              <w:r>
                <w:rPr>
                  <w:rStyle w:val="InternetLink"/>
                  <w:rFonts w:ascii="Times New Roman" w:hAnsi="Times New Roman"/>
                  <w:caps w:val="false"/>
                  <w:smallCaps w:val="false"/>
                  <w:sz w:val="20"/>
                  <w:u w:val="single"/>
                </w:rPr>
                <w:t>WHERE YOU CAN FIND MORE INFORMATION</w:t>
              </w:r>
            </w:hyperlink>
          </w:p>
        </w:tc>
        <w:tc>
          <w:tcPr>
            <w:tcW w:w="380" w:type="dxa"/>
            <w:tcBorders/>
            <w:shd w:fill="FFFFFF" w:val="clear"/>
            <w:vAlign w:val="center"/>
          </w:tcPr>
          <w:p>
            <w:pPr>
              <w:pStyle w:val="TableContents"/>
              <w:bidi w:val="0"/>
              <w:spacing w:before="0" w:after="283"/>
              <w:jc w:val="center"/>
              <w:rPr/>
            </w:pPr>
            <w:hyperlink w:anchor="MORE_INFO">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INCORPORATION_BY_REFERENCE">
              <w:r>
                <w:rPr>
                  <w:rStyle w:val="InternetLink"/>
                  <w:rFonts w:ascii="Times New Roman" w:hAnsi="Times New Roman"/>
                  <w:caps w:val="false"/>
                  <w:smallCaps w:val="false"/>
                  <w:sz w:val="20"/>
                  <w:u w:val="single"/>
                </w:rPr>
                <w:t>INFORMATION INCORPORATED BY REFERENCE</w:t>
              </w:r>
            </w:hyperlink>
          </w:p>
        </w:tc>
        <w:tc>
          <w:tcPr>
            <w:tcW w:w="380" w:type="dxa"/>
            <w:tcBorders/>
            <w:shd w:fill="CCEEFF" w:val="clear"/>
            <w:vAlign w:val="center"/>
          </w:tcPr>
          <w:p>
            <w:pPr>
              <w:pStyle w:val="TableContents"/>
              <w:bidi w:val="0"/>
              <w:spacing w:before="0" w:after="283"/>
              <w:jc w:val="center"/>
              <w:rPr/>
            </w:pPr>
            <w:hyperlink w:anchor="INCORPORATION_BY_REFERENCE">
              <w:r>
                <w:rPr>
                  <w:rStyle w:val="InternetLink"/>
                  <w:u w:val="single"/>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76" w:name="ABOUT_PROSPECTUS"/>
      <w:bookmarkEnd w:id="176"/>
      <w:r>
        <w:rPr>
          <w:rFonts w:ascii="Times New Roman;Times;serif" w:hAnsi="Times New Roman;Times;serif"/>
          <w:b/>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on Form S-3 (the “Registration Statement”) that we filed with the U.S. Securities and Exchange Commission (“SEC”) using the “shelf” registration process. Under this shelf registration process, we may offer and sell shares of our common stock, preferred stock, debt securities, warrants to purchase our common stock, preferred stock or debt securities, and/or units, either individually or in combination with other securities, in one or more offerings, up to a total dollar amount of $160,000,000.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provides you with a general description of the securities we may offer. Each time we offer securities under this prospectus, we will provide a prospectus supplement that will contain more specific information about the terms of that offering. The prospectus supplement may also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together with the information incorporated by reference as described in the section of this prospectus entitled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or the applicable prospectus supplement. We have not authorized anyone to provide you with any information or to make any representations other than those contained in this prospectus, or any applicable prospectus supplement or post-effective amendment to the Registration Statement.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securities and the distribution of this prospectus outside of the United States.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before deciding whether to invest in the securities being offered.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77" w:name="CAUTIONARY_NOTE"/>
      <w:bookmarkEnd w:id="177"/>
      <w:r>
        <w:rPr>
          <w:rFonts w:ascii="Times New Roman;Times;serif" w:hAnsi="Times New Roman;Times;serif"/>
          <w:b/>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any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of 1933, as amended (the “Securities Act”).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pStyle w:val="TextBody"/>
        <w:bidi w:val="0"/>
        <w:spacing w:before="0" w:after="0"/>
        <w:ind w:left="0" w:right="0" w:firstLine="42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financial performance, including our ability to continue as a going concern;</w:t>
            </w:r>
          </w:p>
        </w:tc>
      </w:tr>
    </w:tbl>
    <w:p>
      <w:pPr>
        <w:pStyle w:val="TextBody"/>
        <w:bidi w:val="0"/>
        <w:spacing w:before="0" w:after="0"/>
        <w:ind w:left="0" w:right="0" w:firstLine="42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raise additional funding;</w:t>
            </w:r>
          </w:p>
        </w:tc>
      </w:tr>
    </w:tbl>
    <w:p>
      <w:pPr>
        <w:pStyle w:val="TextBody"/>
        <w:bidi w:val="0"/>
        <w:spacing w:before="0" w:after="0"/>
        <w:ind w:left="0" w:right="0" w:firstLine="42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likelihood of commercial success for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4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obtain and maintain regulatory approvals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size and growth potential of the markets for our drug candidates, and our ability to serve those markets, either alone or in combination with others;</w:t>
            </w:r>
          </w:p>
        </w:tc>
      </w:tr>
    </w:tbl>
    <w:p>
      <w:pPr>
        <w:pStyle w:val="TextBody"/>
        <w:bidi w:val="0"/>
        <w:spacing w:before="0" w:after="0"/>
        <w:ind w:left="0" w:right="0" w:firstLine="42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market for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expansion plans and opportunities; and</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factors detailed under “</w:t>
            </w:r>
            <w:r>
              <w:rPr>
                <w:rFonts w:ascii="Times New Roman;Times;serif" w:hAnsi="Times New Roman;Times;serif"/>
                <w:i/>
                <w:sz w:val="20"/>
              </w:rPr>
              <w:t>Risk Factors</w:t>
            </w:r>
            <w:r>
              <w:rPr>
                <w:rFonts w:ascii="Times New Roman;Times;serif" w:hAnsi="Times New Roman;Times;serif"/>
                <w:sz w:val="20"/>
              </w:rPr>
              <w:t>” in our most recent Annual Report on Form 10-K and any subsequent Quarterly Reports on Form 10-Q.</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These forward-looking statements represent our views as of the date of this prospectus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4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substantial dependence on the successful commercialization of our drug candidates, if approved, in the future;</w:t>
            </w:r>
          </w:p>
        </w:tc>
      </w:tr>
    </w:tbl>
    <w:p>
      <w:pPr>
        <w:pStyle w:val="TextBody"/>
        <w:bidi w:val="0"/>
        <w:spacing w:before="0" w:after="0"/>
        <w:ind w:left="0" w:right="0" w:firstLine="42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significant net losses and net operating cash outflows;</w:t>
            </w:r>
          </w:p>
        </w:tc>
      </w:tr>
    </w:tbl>
    <w:p>
      <w:pPr>
        <w:pStyle w:val="TextBody"/>
        <w:bidi w:val="0"/>
        <w:spacing w:before="0" w:after="0"/>
        <w:ind w:left="0" w:right="0" w:firstLine="4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demonstrate the efficacy and safety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for our drug candidates, which may not support further development or marketing approval;</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actions of regulatory agencies, which may affect the initiation, timing, and progress of clinical trials and marketing approval;</w:t>
            </w:r>
          </w:p>
        </w:tc>
      </w:tr>
    </w:tbl>
    <w:p>
      <w:pPr>
        <w:pStyle w:val="TextBody"/>
        <w:bidi w:val="0"/>
        <w:spacing w:before="0" w:after="0"/>
        <w:ind w:left="0" w:right="0" w:firstLine="42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achieve commercial success for our drug candidates, if approved;</w:t>
            </w:r>
          </w:p>
        </w:tc>
      </w:tr>
    </w:tbl>
    <w:p>
      <w:pPr>
        <w:pStyle w:val="TextBody"/>
        <w:bidi w:val="0"/>
        <w:spacing w:before="0" w:after="0"/>
        <w:ind w:left="0" w:right="0" w:firstLine="42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obtain and maintain protection of intellectual property for our technology and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reliance on third parties to conduct research, drug development, and other services;</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limited operating history and our ability to obtain additional funding for operations and to complete the licensing or development and commercialization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8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any future epidemics, pandemics or conflicts;</w:t>
            </w:r>
          </w:p>
        </w:tc>
      </w:tr>
    </w:tbl>
    <w:p>
      <w:pPr>
        <w:pStyle w:val="TextBody"/>
        <w:bidi w:val="0"/>
        <w:spacing w:before="0" w:after="0"/>
        <w:ind w:left="0" w:right="0" w:firstLine="42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0" w:right="0" w:firstLine="42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inflation;</w:t>
            </w:r>
          </w:p>
        </w:tc>
      </w:tr>
    </w:tbl>
    <w:p>
      <w:pPr>
        <w:pStyle w:val="TextBody"/>
        <w:bidi w:val="0"/>
        <w:spacing w:before="0" w:after="0"/>
        <w:ind w:left="0" w:right="0" w:firstLine="42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staffing and materials shortages;</w:t>
            </w:r>
          </w:p>
        </w:tc>
      </w:tr>
    </w:tbl>
    <w:p>
      <w:pPr>
        <w:pStyle w:val="TextBody"/>
        <w:bidi w:val="0"/>
        <w:spacing w:before="0" w:after="0"/>
        <w:ind w:left="0" w:right="0" w:firstLine="42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risks and uncertainties set forth in “</w:t>
            </w:r>
            <w:r>
              <w:rPr>
                <w:rFonts w:ascii="Times New Roman;Times;serif" w:hAnsi="Times New Roman;Times;serif"/>
                <w:i/>
                <w:sz w:val="20"/>
              </w:rPr>
              <w:t>Risk Factors</w:t>
            </w:r>
            <w:r>
              <w:rPr>
                <w:rFonts w:ascii="Times New Roman;Times;serif" w:hAnsi="Times New Roman;Times;serif"/>
                <w:sz w:val="20"/>
              </w:rPr>
              <w:t>” in our most recent Annual Report on Form 10-K and any subsequent Quarterly Reports on Form 10-Q.</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78" w:name="MARKET_DATA"/>
      <w:bookmarkEnd w:id="178"/>
      <w:r>
        <w:rPr>
          <w:rFonts w:ascii="Times New Roman;Times;serif" w:hAnsi="Times New Roman;Times;serif"/>
          <w:b/>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w:t>
      </w:r>
      <w:r>
        <w:rPr>
          <w:rFonts w:ascii="Times New Roman" w:hAnsi="Times New Roman"/>
          <w:i/>
          <w:caps w:val="false"/>
          <w:smallCaps w:val="false"/>
          <w:sz w:val="20"/>
        </w:rPr>
        <w:t>Risk Factors</w:t>
      </w:r>
      <w:r>
        <w:rPr>
          <w:rFonts w:ascii="Times New Roman" w:hAnsi="Times New Roman"/>
          <w:caps w:val="false"/>
          <w:smallCaps w:val="false"/>
          <w:sz w:val="20"/>
        </w:rPr>
        <w:t>.” These and other factors could cause results to differ materially from those expressed in the estimates made by the independent parties or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79" w:name="SUMMARY"/>
      <w:bookmarkEnd w:id="179"/>
      <w:r>
        <w:rPr>
          <w:rFonts w:ascii="Times New Roman;Times;serif" w:hAnsi="Times New Roman;Times;serif"/>
          <w:b/>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and the information incorporated herein by reference. Unless the context otherwise requires, references to “we,” “us,” “our,” “the Company,” “Clene” and similar designations are intended to mean the business and operations of Clene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clinical-stage pharmaceutical company pioneering the discovery, development, and commercialization of novel clean-surfaced nanotechnology (“CSN®”) therapeutics. CSN®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 owned subsidiary, dOrbital, Inc., or through an exclusive license with 4Life Research LLC (“4Life”), an international supplier of health supplements, stockholder, and related party. We anticipate these revenues to be small compared to our operating expenses and to the revenue we expect to generate from potential future sales of our drug candidates, for which we are currently conducting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Developments of Our 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Amyotrophic Lateral Sclerosis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December 2024, we announced that we recently received written guidance from the Division of Neurology 1 (“DN1”) of the U.S. Food and Drug Administration (“FDA”) regarding a potential accelerated approval pathway for CNM-Au8® in ALS. As announced previously in September 2024, we were initially advised that the data presented in our briefing package for CNM-Au8 was not adequate to support an NDA submission under the accelerated approval pathway. However, following our November 2024 meeting with DN1 and presentation of additional data and analyses, the FDA provided guidance on a potential path to meet the regulatory standard for substantial evidence of effectiveness supporting accelerated approval. The FDA recommended that we investigate whether additional data from our ongoing compassionate use Expanded Access Programs (“EAPs”) could be leveraged to substantiate the effect of CNM-Au8 on neurofilament light (“NfL”) decline. We intend to follow the FDA’s recommendation to provide data from the ongoing EAPs and believe we can address the FDA’s requests. The additional NfL biomarker collection and analyses to support NDA submission is planned to be completed during the third quarter of 2025, as summarized below:</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NfL biomarker analyses</w:t>
            </w:r>
            <w:r>
              <w:rPr>
                <w:rFonts w:ascii="Times New Roman;Times;serif" w:hAnsi="Times New Roman;Times;serif"/>
                <w:sz w:val="20"/>
              </w:rPr>
              <w:t>—Provide supportive evidence of NfL declines in participants from our ongoing FDA-authorized compassionate-use EAPs. We will meet with the FDA in the second quarter of 2025 to review and finalize our statistical analysis plan for the EAP NfL biomarker analyses.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Survival pharmacometric modeling</w:t>
            </w:r>
            <w:r>
              <w:rPr>
                <w:rFonts w:ascii="Times New Roman;Times;serif" w:hAnsi="Times New Roman;Times;serif"/>
                <w:sz w:val="20"/>
              </w:rPr>
              <w:t>—Provide analyses of NfL and related disease-specific biomarkers linked to clinical survival benefit and clinical changes from the Phase 2 trial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Additional ALS-specific biomarkers</w:t>
            </w:r>
            <w:r>
              <w:rPr>
                <w:rFonts w:ascii="Times New Roman;Times;serif" w:hAnsi="Times New Roman;Times;serif"/>
                <w:sz w:val="20"/>
              </w:rPr>
              <w:t>—Provide analyses of additional ALS-disease specific biomarkers to support the pharmacodynamic activity of CNM-Au8 for treatment of ALS.</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FDA noted that whether NfL can serve as a reasonably likely surrogate endpoint for the effects of CNM-Au8 in ALS and whether the magnitude of change observed on NfL in patients treated with CNM-Au8 is reasonably likely to predict clinical benefit for ALS would be a matter of review. In preparation for a potential NDA submission in the fourth quarter of 2025 with the accelerated approval request, we plan to commence a confirmatory Phase 3 trial, RESTORE-ALS, in the second half of 2025. The trial is designed to investigate the effects of CNM-Au8 on improved survival (primary endpoint) and delayed time to ALS clinical worsening events (secondary efficacy endpoint). We have submitted the RESTORE-ALS trial protocol to the FDA and the FDA review process is ongoing.</w:t>
      </w:r>
    </w:p>
    <w:p>
      <w:pPr>
        <w:pStyle w:val="TextBody"/>
        <w:bidi w:val="0"/>
        <w:spacing w:before="0" w:after="0"/>
        <w:ind w:left="0" w:right="0" w:firstLine="40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Multiple Sclerosis</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We have initiated a second dosing cohort of REPAIR-MS, an open-label, investigator blinded Phase 2 clinical trial in non-active progressive MS patients. Enrollment concluded in January 2025 with topline results expected in mid-2025. We plan to work closely with regulatory health authorities from the FDA, European Medicines Agency and other international regulatory bodies, MS experts, and patient representatives to determine the proper path to advance CNM-Au8 into Phase 3 and potential future approval. We expect to meet with the FDA in an end of Phase 2 meeting in the third quarter of 2025.</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In April 2025, we announced new evidence of remyelination and neuronal repair in MS participants following treatment with CNM-Au8 30 mg from analyses of the long-term open-label extension of the VISIONARY-MS clinical trial. The post hoc analyses identify consistent anatomical and physiologic effects within the same trial participants resulting in cognition and vision improvement for people living with MS. The analyses highlight significant and clinically meaningful improvements in cognition and visual function, supported by corresponding objective biomarkers, including advanced magnetic resonance imaging (“MRI”) diffusion tensor imaging (“DTI”) and multi-focal visual evoked potential (“mf-VEP”) assessments. Key findings from the analyses included:</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MRI DTI metrics (axial diffusivity (“AD”) and magnetization transfer ratio (“MTR”)—structural markers associated with neuronal repair and remyelination) confirmed improvements in the brain’s neuronal structure consistent with remyelination and repair among MS participants receiving CNM-Au8; and</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mf-VEP metrics (VEP latency and amplitude—functional markers associated with remyelination and neuronal repair) confirmed improvements in the visual system and related to cognitive function among MS participants receiving CNM-Au8.</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Both the low contrast letter acuity (“LCLA”) vision—a visual measure associated with vision-specific quality of life and overall MS disability—and symbol digit modality test (“SDMT”)—a benchmark for working memory and cognitive processing speed in MS—improved in CNM-Au8 participants, results that have not been previously documented in MS clinical trials of other repair candidate drugs. Importantly, these clinical improvements correlated with objective biomarker measurements including:</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96% of participants who were LCLA responders, showing visual improvement, also demonstrated improvement in MRI DTI metrics (AD and/or MTR), evidencing repair and remyelination;</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91% of LCLA visual responders exhibited mf-VEP improvements in latency (conduction velocity) and/or amplitude (signal strength);</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VEP provides an objective measure of visual circuit pathway, further supporting functional recovery linked to repair and remyelination; and</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98% of SDMT responders with improved cognition had corresponding improvements in MRI DTI metrics AD and/or MTR, substantiating that the cognitive enhancement was associated with repair and remyelination.</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These results are also consistent with previous neuronal and clinical improvement observed in the double-blind period of VISIONARY-MS, while also reinforcing the long-term benefits of the novel therapeutic mechanism of CNM-Au8. CNM-Au8 supports critical repair processes within neurons and oligodendrocytes, leading to improved neurological function and remyelination, as previously documented.</w:t>
      </w:r>
    </w:p>
    <w:p>
      <w:pPr>
        <w:pStyle w:val="TextBody"/>
        <w:bidi w:val="0"/>
        <w:spacing w:before="0" w:after="0"/>
        <w:ind w:left="0" w:right="0" w:firstLine="40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chart below reflects the growing body of evidence for CSN therapeutics from our completed and ongoing clinical programs.</w:t>
      </w:r>
    </w:p>
    <w:p>
      <w:pPr>
        <w:pStyle w:val="TextBody"/>
        <w:bidi w:val="0"/>
        <w:spacing w:before="0" w:after="0"/>
        <w:ind w:left="0" w:right="0" w:firstLine="400"/>
        <w:jc w:val="both"/>
        <w:rPr/>
      </w:pPr>
      <w:r>
        <w:rPr/>
        <w:t> </w:t>
      </w:r>
    </w:p>
    <w:p>
      <w:pPr>
        <w:pStyle w:val="TextBody"/>
        <w:bidi w:val="0"/>
        <w:jc w:val="center"/>
        <w:rPr/>
      </w:pPr>
      <w:r>
        <w:rPr/>
        <w:drawing>
          <wp:inline distT="0" distB="0" distL="0" distR="0">
            <wp:extent cx="2468880" cy="12579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2468880" cy="125793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incurred a loss from operations $33.1 million and $40.5 million for the years ended December 31, 2024 and 2023, respectively. Our accumulated deficit was $282.1 million and $242.7 million as of December 31, 2024 and December 31, 2023, respectively. Our cash, cash equivalents, and marketable securities totaled $12.2 million and $35.0 million as of December 31, 2024 and December 31, 2023, respectively, and net cash used in operating activities was $21.3 million and $30.2 million for the years ended December 31, 2024 and 2023,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(the “2024 SSCP Notes”), we are required to maintain unrestricted cash and cash equivalents of at least $2.0 million to avoid acceleration of the full balance of the 2024 SSCP Notes. These conditions raise substantial doubt about the Company’s ability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To mitigate our funding needs, we plan to raise additional funding, including exploring equity financing and offerings, debt financing, licensing or collaboration arrangements with third parties, as well as utilizing our existing at-the-market facility and equity purchase agreement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December 31, 2024, we generated $2.7 million of gross proceeds from our equity distribution agreement (the “ATM Agreement”), raised $3.5 million from a registered direct offering of equity securities and an additional $3.8 million from separate, concurrent private placements of equity securities, and raised $10.0 million from the issuance of the 2024 SSCP Notes of which $7.9 million was used to repay the remaining balance of our obligations under a term loan with Avenue Venture Opportunities Fund, L.P. (“Avenue”). Additionally, subsequent to December 31, 2024, we generated $3.3 million of gross proceeds from our ATM Agreement. We have implemented cost-saving initiatives, including delaying and reducing certain research and development programs and commercialization efforts and elimination of certain staff positions. We have concluded that our plans do not alleviate the substantial doubt about our ability to continue as a going concern beyond one year from the date our consolidated financial statements for the year ended December 31, 2025, were issued.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financial statements incorporated herein by reference have been prepared assuming we will continue as a going concern, which contemplates the realization of assets and satisfaction of liabilities in the normal course of business. As a result, our financial statements incorporated herein by reference do not include any adjustments relating to the recoverability and classification of assets and their carrying amounts, or the amounts and classification of liabilities that may result should we be unable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because the market value of our stock held by non-affiliates was less than $250 million as of June 30, 2024.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History and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Clene Nanomedicine, Inc. (“Clene Nanomedicine”) became a public company on December 30, 2020 (the “Closing Date”) when it completed a reverse recapitalization (the “Reverse Recapitalization”) with Tottenham Acquisition I Limited (“Tottenham”), and with Tottenham’s wholly-owned subsidiary and our predecessor, Chelsea Worldwide Inc., and Creative Worldwide Inc., a wholly-owned subsidiary of Chelsea Worldwide Inc. On the Closing Date, Chelsea Worldwide Inc. changed its name to Clene Inc. and listed its shares of common stock, par value $0.0001 per share (“common stock”), on Nasdaq under the symbol “CLNN.”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effected a 1-for-20 reverse stock split of our common stock beginning with the opening of trading on July 11, 2024 (the “Reverse Stock Split”). As a result, every 20 shares of common stock issued and outstanding were automatically combined and converted into 1 validly issued, fully paid and non-assessable share. All outstanding stock options, warrants, rights to restricted stock awards, convertible debt, and contingent earn-out shares entitling their holders to purchase or receive shares of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this prospectus, including for periods ending prior to July 11, 2024, has been adjusted to reflect the 1-for-20 Reverse Stock Split.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mailing address for our principal executive office is 6550 South Millrock Drive, Suite G50, Salt Lake City, Utah 84121, and our telephone number is (801) 676-9695. Our website address is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and you should not consider it part of this prospectus. We have included our website address in this prospectus solely as an inactive textual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Under this prospectus, we may offer and sell to the public in one or more series or issuances of common stock, preferred stock, debt securities, warrants to purchase our common stock, preferred stock or debt securities, and/or units consisting of some or all of these securities with an aggregate offering price not to exceed $160,000,000.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0" w:name="RISK_FACTORS"/>
      <w:bookmarkEnd w:id="180"/>
      <w:r>
        <w:rPr>
          <w:rFonts w:ascii="Times New Roman;Times;serif" w:hAnsi="Times New Roman;Times;serif"/>
          <w:b/>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Investing in our securities involves a high degree of risk. Before deciding whether to invest in our securities, you should carefully consider the risks and uncertainties described under “</w:t>
      </w:r>
      <w:r>
        <w:rPr>
          <w:rFonts w:ascii="Times New Roman" w:hAnsi="Times New Roman"/>
          <w:caps w:val="false"/>
          <w:smallCaps w:val="false"/>
          <w:sz w:val="20"/>
        </w:rPr>
        <w:t xml:space="preserve">Risk Factors” </w:t>
      </w:r>
      <w:r>
        <w:rPr>
          <w:rFonts w:ascii="Times New Roman" w:hAnsi="Times New Roman"/>
          <w:i/>
          <w:caps w:val="false"/>
          <w:smallCaps w:val="false"/>
          <w:sz w:val="20"/>
        </w:rPr>
        <w:t>in our most recent Annual Report on Form 10-K and any subsequent Quarterly Reports on Form 10-Q, which are incorporated herein by reference, together with the information contained in this prospectus and any other information that has been or will be incorporated 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Cautionary Note Regarding Forward-Looking Statements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1" w:name="PROCEEDS"/>
      <w:bookmarkEnd w:id="181"/>
      <w:r>
        <w:rPr>
          <w:rFonts w:ascii="Times New Roman;Times;serif" w:hAnsi="Times New Roman;Times;serif"/>
          <w:b/>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we will use the net proceeds from the sale of securities offered by this prospectus for expenses primarily related to general corporate purposes, including to fund the clinical development of our lead drug candidate, CNM-Au8, including for conducting our on-going and planned clinical trials and expanded access protocols; potential future commercialization efforts and future regulatory activities including preparation of regulatory filings; additional early-stage research and development activities; and for business development activities, working capital and other general corporate purposes. Any specific allocation of the net proceeds of an offering of securities to a specific purpose will be determined at the time of such offering and will be described in the related supplement to this prospectus.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drug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clinical trials, and the timing of regulatory submissions. Accordingly, we will have broad discretion in using these net proceeds.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We intend to invest the net proceeds we receive that are not used as described above in a variety of capital preservation investments, including investment-grade, interest-bearing instruments and certificates of deposit or direct or guaranteed obligations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2" w:name="CAPITAL_STOCK"/>
      <w:bookmarkEnd w:id="182"/>
      <w:r>
        <w:rPr>
          <w:rFonts w:ascii="Times New Roman;Times;serif" w:hAnsi="Times New Roman;Times;serif"/>
          <w:b/>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The following is a summary of the rights and preferences of our capital stock. While we believe that the following description covers the material terms of our capital stock, the description may not contain all of the information that is important to you. We encourage you to read carefully this entire prospectus, any future related prospectus supplement and certificates of designation relating to the securities, as applicable, our amended and restated certificate of incorporation (the “certificate of incorporation”) and amended and restated bylaws (the “bylaws”) and the other documents we refer to for a more complete understanding of our capital stock. Copies of our certificate of incorporation and bylaws are incorporated by reference as exhibits to the registration statement of which this prospectus is a part. See “</w:t>
      </w:r>
      <w:r>
        <w:rPr>
          <w:rFonts w:ascii="Times New Roman" w:hAnsi="Times New Roman"/>
          <w:caps w:val="false"/>
          <w:smallCaps w:val="false"/>
          <w:sz w:val="20"/>
        </w:rPr>
        <w:t xml:space="preserve">Where You Can Find More Information” </w:t>
      </w:r>
      <w:r>
        <w:rPr>
          <w:rFonts w:ascii="Times New Roman" w:hAnsi="Times New Roman"/>
          <w:i/>
          <w:caps w:val="false"/>
          <w:smallCaps w:val="false"/>
          <w:sz w:val="20"/>
        </w:rPr>
        <w:t>and “</w:t>
      </w:r>
      <w:r>
        <w:rPr>
          <w:rFonts w:ascii="Times New Roman" w:hAnsi="Times New Roman"/>
          <w:caps w:val="false"/>
          <w:smallCaps w:val="false"/>
          <w:sz w:val="20"/>
        </w:rPr>
        <w:t>Information Incorporated by Reference</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governed by the certificate of incorporation, as amended and restated from time to time, and the Delaware General Corporation Law (“DGCL”), and the common law of the state of Delaware. The following summary of certain provisions of our securities does not purport to be complete and is subject to our amended and restated certificate of incorporation, as amended, our amended and restated bylaws and the provisions of the DGCL. Copies of our amended and restated certificate of incorporation, as amended, and our amended and restated bylaws are incorporated by reference as Exhibits 3.1, 3.2, 3.3 and 3.4, respectively, to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authorizes a total number of shares of all classes of stock of 601,000,000 shares, consisting of (i) 600,000,000 shares of common stock, par value $0.0001 per share, and (ii) 1,000,000 shares of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under the symbol “CLNN.” The holders of our common stock are entitled to one vote for each share held on all matters to be voted on by stockholders and do not have cumulative voting rights. The holders of our common stock are entitled to receive dividends, if and when declared by our Board of Directors (the “Board”) out of funds legally available therefor. In the event of a liquidation, dissolution, or winding up of the Company, our stockholders are entitled to share ratably in all assets remaining available for distribution to them after payment of liabilities and after provision is made for each class of stock, if any, having preference over our common stock. Holders of our common stock have no preemptive or other subscription rights. Our Board is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preferred stock is currently undesignated and no shares of preferred stock are outstanding. 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our capital stock, diluting the voting power of the common stock, impairing the liquidation rights of our capital stock or delaying or preventing a change in control of the Company. There is no restriction on the repurchase or redemption of shares by us while there is any arrearage in the payment of dividends or sinking fund installments.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warrants outstanding that were exercisable into a total of 7,242,876 shares of common stock, as outlined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warrants originally issued by Tottenham are listed on Nasdaq under the symbol “CLNNW” (the “Public Warrants”). Each Public Warrant entitles the holder thereof to purchase one-fortieth (1/40) of one share of common stock at a price of $230.00 per full share. We will not issue fractional shares. As a result, a Public Warrant holder must exercise warrants in multiples of forty, at a price of $230.00 per full share, subject to adjustment, to validly exercise the warrants. The Public Warrants became exercisable upon the completion of the Reverse Recapitalization and will expire on December 30, 2025. As of the date of this prospectus, we had 4,815,000 Public Warrants outstanding exercisable into 120,375 shares of common stock. The Public Warrants are currently exercisable.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redeem the outstanding Public Warrants (excluding the private warrants that are part of the private units), in whole and not in part, at a price of $0.01 per warrant:</w:t>
      </w:r>
    </w:p>
    <w:p>
      <w:pPr>
        <w:pStyle w:val="TextBody"/>
        <w:bidi w:val="0"/>
        <w:spacing w:before="0" w:after="0"/>
        <w:ind w:left="0" w:right="0" w:firstLine="40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any time while the warrants are exercisable;</w:t>
            </w:r>
          </w:p>
        </w:tc>
      </w:tr>
    </w:tbl>
    <w:p>
      <w:pPr>
        <w:pStyle w:val="TextBody"/>
        <w:bidi w:val="0"/>
        <w:spacing w:before="0" w:after="0"/>
        <w:ind w:left="0" w:right="0" w:firstLine="40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a minimum of 30 days’ prior written notice of redemption;</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and only if, the last sales price of our common stock equals or exceeds $330.00 per share for any 20 trading days within a 30-trading day period ending three business days before we send the notice of redemption;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and only if, (i) there is a current registration statement in effect with respect to our common stock underlying the warrants at the time of redemption and for the entire 30-day trading period referred to above and continuing each day thereafter until the date of redemption or (ii) the warrants may be exercised on a cashless basis as set forth in the warrant agreement and such cashless exercise is exempt from registration under the Securities Act.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the foregoing conditions are satisfied and we issue a notice of redemption, each warrant holder can exercise his, her or its warrant prior to the scheduled redemption date. However, the price of our common stock may fall below the $330.00 trigger price as well as the $230.00 exercise price per full share after the redemption notice is issued and not limit our ability to complete the redemption.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we call the Public Warrants for redemption as described above, our management will have the option to require all warrant holders that wish to exercise the warrants to do so on a “cashless” basis. In such event, each warrant holder would pay the exercise price by surrendering the whole warrant for that number of shares of common stock equal to the quotient obtained by dividing (x) the product of the number of shares of common stock underlying the warrants, multiplied by the difference between the exercise price of our warrants and the “fair market value” (as defined below) by (y) the fair market value. The “fair market value” means the average reported last sale price of our common stock for the ten trading days ending on the third trading day prior to the date on which the notice of redemption is sent to the warrant holders. Whether we will exercise the option to require all warrant holders to exercise their warrants on a “cashless basis” will depend on a variety of factors, including the price of our common stock at the time the warrants are called for redemption, our cash needs at such time and concerns regarding dilutive share issuances.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Option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July 2021, Chardan Capital Markets, LLC (“Chardan”) exercised a unit purchase option originally issued in connection with Tottenham’s initial public offering in August 2018 for 11,000 units, each unit consisting of one and one-tenth (1/10) shares of common stock and twenty warrants to purchase one-fortieth (1/40) of one share of common stock at an exercise price of $230.00 per share. Chardan elected to perform a cashless or net exercise, which resulted in a net issuance of 49,166 warrants to purchase one-fortieth (1/40) of one share of common stock (the “Option Warrants”). The Option Warrants became exercisable upon issuance and are subject to the same expiration and redemption terms as the Public Warrants. As of the date of this prospectus, the Option Warrants are exercisable into 1,229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2023 Avenue Warrant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June 2023, we issued a warrant (the “2023 Avenue Warrant”) in connection with an amendment to a loan agreement by and among the Company and our wholly owned subsidiary, Clene Nanomedicine, Inc., and Avenue and its affiliates. The 2023 Avenue Warrant became exercisable upon issuance and expires on June 30, 2028. Avenue may exercise the 2023 Avenue Warrant for cash or on a net or “cashless” basis. In the event of a change of control of the Company, the 2023 Avenue Warrant shall be automatically exchanged for the number of shares of common stock which remain exercisable thereunder immediately prior to the change of control transaction, for no payment or consideration from Avenue for such shares, and the 2023 Avenue Warrant shall be terminated. As of the date of this prospectus, the 2023 Avenue Warrant is exercisable into 150,000 shares of common stock. Upon effectiveness of an amendment to the loan agreement, dated September 30, 2024, the 2023 Avenue Warrant was amended and restated to reflect an exercise price of $4.6014 per share. The other material terms of the 2023 Avenue Warrant remained effective as summarized herein.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Tranche A Warrants &amp; Tranche B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June 2023, pursuant to an underwritten public equity offering, we sold units each consisting of (i) one share of common stock, (ii) one warrant to purchase one share of common stock at an exercise price of $22.00 per share (the “Tranche A Warrants”), and (iii) one warrant to purchase one share of common stock at an exercise price of $30.00 per share (the “Tranche B Warrants”). The Tranche A Warrants were exercisable immediately and will expire on the earlier of (i) sixty (60) days following the date of our public announcement that the filing of a New Drug Application (“NDA”) for CNM-Au8 has been accepted by the U.S. Food and Drug Administration (“FDA”), or (ii) June 16, 2026. The Tranche B Warrants were exercisable immediately and will expire on the earlier of (i) sixty (60) days following the date of our public announcement that an NDA for CNM-Au8 has been approved by the FDA, or (ii) June 16, 2030. If we enter into or become party to a fundamental transaction (which generally includes a merger of the Company with or into another entity; the sale, lease, license, or transfer of all or substantially all of our assets; tender or exchange offers; or reclassification, reorganization, or recapitalization of our common stock), then (i) we or our successor entity shall purchase all outstanding Tranche A Warrants by paying the holders cash in an amount equal to the Black-Scholes value of the remaining unexercised portion of each Tranche A Warrant, and (ii) upon any subsequent exercise of a Tranche B Warrant, the holder shall be entitled to receive, at the option of the holder, the number of shares of common stock of the successor or acquiring corporation or of the Company, if it is the surviving corporation, and any additional consideration receivable upon or as a result of such fundamental transaction by a holder of the number of shares of our common stock for which the warrant is exercisable immediately prior to such fundamental transaction. As of the date of this prospectus, the Tranche A Warrants and Tranche B Warrants are exercisable into 2,500,000 and 2,500,000 shares of common stock,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2024 Pre-Funded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October 2024, pursuant to a registered direct offering and a separate, concurrent private placement, we sold pre-funded warrants (the “2024 Pre-Funded Warrants”) with an exercise price of $0.001 per share of common stock. The 2024 Pre-Funded Warrants are currently exercisable and will expire when exercised in full. Additionally, the 2024 Pre-Funded Warrants may be exercised on a net or “cashless” basis. In the event of a fundamental transaction, as described in the 2024 Pre-Funded Warrants and generally including any merger or consolidation, or the sale, lease, license, assignment, transfer, or other conveyance or disposition of all or substantially all of our assets, or any purchase offer, tender offer or exchange offer is completed whereby holders of our common stock are permitted to sell, tender or exchange their shares for other securities, cash or property and has been accepted by holders of 50% or more of our outstanding common stock or voting power, any reclassification, reorganization or recapitalization of the common stock or any compulsory share exchange pursuant to which the common stock is effectively converted into or exchanged for other securities, cash or property, or consummates a stock or share purchase agreement or other business combination (including, without limitation, a reorganization, recapitalization, spin-off, merger or scheme of arrangement) whereby any person or group acquires 50% or more of our outstanding common stock or voting power, then the holders of the 2024 Pre-Funded Warrants will be entitled to receive upon any subsequent exercise of the 2024 Pre-Funded Warrants, at the option of the holders, the number of shares of common stock of the successor or acquiring corporation or of the Company, if it is the surviving corporation, and any additional consideration receivable as a result of such fundamental transaction. As of the date of this prospectus, the 2024 Pre-Funded Warrants are exercisable into 424,358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2024 Common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October 2024, pursuant to a registered direct offering and separate, concurrent private placements, we sold warrants (the “2024 Common Warrants”) with an exercise price of $4.82 per share of common stock. The 2024 Common Warrants are currently exercisable and expire five (5) years from the issuance date of October 1, 2024. In the event of a fundamental transaction, as described in the 2024 Common Warrants and generally including any merger or consolidation, or the sale, lease, license, assignment, transfer, or other conveyance or disposition of all or substantially all of our assets, or any purchase offer, tender offer or exchange offer is completed whereby holders of our common stock are permitted to sell, tender or exchange their shares for other securities, cash or property and has been accepted by holders of 50% or more of our outstanding common stock or voting power, any reclassification, reorganization or recapitalization of the common stock or any compulsory share exchange pursuant to which the common stock is effectively converted into or exchanged for other securities, cash or property, or consummates a stock or share purchase agreement or other business combination (including, without limitation, a reorganization, recapitalization, spin-off, merger or scheme of arrangement) whereby any person or group acquires 50% or more of our outstanding common stock or voting power, then holders of the 2024 Common Warrants will be entitled to receive upon any subsequent exercise of the 2024 Common Warrants, at the option of the holders, the number of shares of common stock of the successor or acquiring corporation or of the Company, if it is the surviving corporation, and any additional consideration receivable as a result of such fundamental transaction. Notwithstanding anything to the contrary, in the event of a fundamental transaction, the Company or any successor entity shall, at the holder’s option, purchase the 2024 Common Warrants by paying to the holders the amount of cash equal to the Black Scholes Value (as defined in the 2024 Common Warrants) of the remaining unexercised portion of the 2024 Common Warrants on the date of the consummation of such fundamental transaction; provided, however, that, if the fundamental transaction is not within our control, including not approved by our Board of Directors, the holders shall only be entitled to receive from the Company or any successor the same type or form of consideration (and in the same proportion), at the Black Scholes Value of the unexercised portion of the 2024 Common Warrants, that is being offered and paid to the holders of our common stock in connection with the fundamental transaction, whether that consideration be in the form of cash, stock or any combination thereof, or whether the holders of our common stock are given the choice to receive from among alternative forms of consideration in connection with the fundamental transaction; provided, further, that if holders of our common stock are not offered or paid any consideration in such fundamental transaction, such holders of our common stock will be deemed to have received common stock of the successor in such fundamental transaction. As of the date of this prospectus, the 2024 Common Warrants are exercisable into 1,546,914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stock options to purchase 2,257,140 shares, with a weighted average exercise price of $24.61 per share.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Awards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37,441 outstanding and unvested rights to restricted stock awards, which were subject to time-based and market-based vesting conditions.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Contingent Earn-Outs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and unvested earn-outs to issue 329,628 shares, which were subject to market-based and performance-based vesting conditions.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Senior Secured Convertible Promissory Notes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senior secured convertible promissory notes (the “Notes”) in a principal amount totaling $10.0 million which we issued to Kensington Clene 2024 LLC, 4Life Research, LLC and La Scala Investments, LLC pursuant to a note purchase agreement. At the sole election of the holder of a Note, up to 65% of the outstanding principal balance of a Note may be converted into the number of shares of our common stock, equal to the outstanding principal balance elected by the holder to be converted divided by $5.668. Notwithstanding the foregoing, in the event that the holder of a Note declines to convert its pro rata share of outstanding principal balance, the remaining holders of the Notes may convert additional amounts, provided that no outstanding principal balance converted among all Notes exceeds $6.5 million. The Notes expire on the earlier of: (i) the date that is 18 months following the closing date of December 20, 2024, or (ii) a “Change in Control” as described below (the “Maturity Date”). Monthly principal repayments of $1,000,000 per month, made pro rata to the holders of the Notes, will commence on the 13-month anniversary of issuance and will continue until the Maturity Date, upon which date the remaining unpaid balance of principal together with any accrued and unpaid interest shall be due.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 Change in Control means a merger or consolidation of us with or into any other entity in which our stockholders immediately prior to the merger or consolidation do not own more than 50% of the outstanding voting power (assuming conversion of all convertible securities and the exercise of all outstanding options and warrants) of the surviving entity or the sale, lease, licensing, transfer or other disposition of all or substantially all of our the assets; provided, however, that any new issuance of capital stock to one or more third parties for the sole purpose of providing new funding or solely in connection with a public offering of stock shall not constitute a Change in Control. In the event of a Change in Control or any bankruptcy, liquidation, or other restructuring process, the holder of a Note may, at its option, (i) convert up to 65% of the outstanding principal balance of the Note into common stock, (ii) receive a total return, paid in cash, equal to 115% of the outstanding principal balance of the Note, or (iii) any combination thereof, prior to such monetization event, before any security or claim junior to the Note shall receive any proceeds from such monetization event. Events of Default under the Notes include: (i) failure to deliver the conversion shares, (ii) default in the payment of the principal of, or any other amount owing in respect of, the Notes when they become due and payable and the continuance of such default for a period of ten business days after a written notice has been given to the Company; (iii) default in the performance or observance of any covenant or agreement of the Company in the Notes or the note purchase agreement, and the continuance of such default for a period of ten business days after a written notice has been given to the Company; (iv) the failure of the Company to maintain a minimum balance of $2.0 million in unrestricted cash; (v) the entry of a decree or order by a court adjudging the Company as bankrupt or insolvent; or approving as properly filed a petition seeking reorganization, arrangement, adjustment or composition of the Company, or appointing a receiver, liquidator, assignee, trustee or sequestrator of the Company or of any substantial part of its property, or ordering the winding-up or liquidation of its affairs, and the continuance of any such decree or order unstayed and in effect for a period of 60 calendar days; and (vi) the institution by the Company of proceedings to be adjudicated as bankrupt or insolvent, or the consent by it to the institution of bankruptcy or insolvency proceedings against it, or the filing by it of a petition or answer or consent seeking reorganization or relief, or the consent by it to the filing of any such petition or to the appointment of a receiver, liquidator, assignee, trustee or sequestrator of the Company or of any substantial part of its property, or the making by it of an assignment for the benefit of creditors.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Convertible Notes Payable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convertible notes payable under a loan agreement with the Maryland Department of Housing and Community Development (“DHCD”) which was convertible into 62,500 shares of common stock at the discretion, but not the obligation, of DHCD at any time from December 8, 2023 through the maturity date of January 1, 2028.</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 Agreements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entered into indemnification agreements with each of our directors and executive officers. Each indemnification agreement provides for indemnification and advancement by us of certain expenses and costs relating to claims, suits or proceedings arising from service to us or, at our request, service to other entities, as officers or directors to the maximum extent permitted by applicable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Any future determination to declare dividends will be made at the discretion of our Board and will depend on our financial condition, operating results, capital requirements, general business conditions, and other factors that our Board may deem relevant.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Equiniti Trust Company, LLC. The transfer agent and registrar’s address is 48 Wall Street, Floor 23, New York, NY 10005.</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3" w:name="DEBT_SECURITIES"/>
      <w:bookmarkEnd w:id="183"/>
      <w:r>
        <w:rPr>
          <w:rFonts w:ascii="Times New Roman;Times;serif" w:hAnsi="Times New Roman;Times;serif"/>
          <w:b/>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 and to the extent the terms set forth in a prospectus supplement differ from the terms described below, the terms set forth in the prospectus supplement shall control. Unless the context requires otherwise, whenever we refer to the </w:t>
      </w:r>
      <w:r>
        <w:rPr>
          <w:rFonts w:ascii="Times New Roman" w:hAnsi="Times New Roman"/>
          <w:caps w:val="false"/>
          <w:smallCaps w:val="false"/>
          <w:sz w:val="20"/>
        </w:rPr>
        <w:t>“</w:t>
      </w:r>
      <w:r>
        <w:rPr>
          <w:rFonts w:ascii="Times New Roman" w:hAnsi="Times New Roman"/>
          <w:i/>
          <w:caps w:val="false"/>
          <w:smallCaps w:val="false"/>
          <w:sz w:val="20"/>
        </w:rPr>
        <w:t>indentures,</w:t>
      </w:r>
      <w:r>
        <w:rPr>
          <w:rFonts w:ascii="Times New Roman" w:hAnsi="Times New Roman"/>
          <w:caps w:val="false"/>
          <w:smallCaps w:val="false"/>
          <w:sz w:val="20"/>
        </w:rPr>
        <w:t xml:space="preserve">” </w:t>
      </w:r>
      <w:r>
        <w:rPr>
          <w:rFonts w:ascii="Times New Roman" w:hAnsi="Times New Roman"/>
          <w:i/>
          <w:caps w:val="false"/>
          <w:smallCaps w:val="false"/>
          <w:sz w:val="20"/>
        </w:rPr>
        <w:t>we are also referring to any supplemental indentures that specify the terms of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The indentures will be qualified under the Trust Indenture Act of 1939, as amended (the “Trust Indenture Act”). We use the term </w:t>
      </w:r>
      <w:r>
        <w:rPr>
          <w:rFonts w:ascii="Times New Roman" w:hAnsi="Times New Roman"/>
          <w:caps w:val="false"/>
          <w:smallCaps w:val="false"/>
          <w:sz w:val="20"/>
        </w:rPr>
        <w:t>“</w:t>
      </w:r>
      <w:r>
        <w:rPr>
          <w:rFonts w:ascii="Times New Roman" w:hAnsi="Times New Roman"/>
          <w:i/>
          <w:caps w:val="false"/>
          <w:smallCaps w:val="false"/>
          <w:sz w:val="20"/>
        </w:rPr>
        <w:t>trustee</w:t>
      </w:r>
      <w:r>
        <w:rPr>
          <w:rFonts w:ascii="Times New Roman" w:hAnsi="Times New Roman"/>
          <w:caps w:val="false"/>
          <w:smallCaps w:val="false"/>
          <w:sz w:val="20"/>
        </w:rPr>
        <w:t xml:space="preserve">” </w:t>
      </w:r>
      <w:r>
        <w:rPr>
          <w:rFonts w:ascii="Times New Roman" w:hAnsi="Times New Roman"/>
          <w:i/>
          <w:caps w:val="false"/>
          <w:smallCaps w:val="false"/>
          <w:sz w:val="20"/>
        </w:rPr>
        <w:t>to refer to either the trustee under the senior indenture or the trustee under the subordinated indenture,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debt securities being offered, including:</w:t>
      </w:r>
    </w:p>
    <w:p>
      <w:pPr>
        <w:pStyle w:val="TextBody"/>
        <w:bidi w:val="0"/>
        <w:spacing w:before="0" w:after="0"/>
        <w:ind w:left="0"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60"/>
        <w:gridCol w:w="170"/>
        <w:gridCol w:w="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title;</w:t>
            </w:r>
          </w:p>
        </w:tc>
      </w:tr>
    </w:tbl>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amount being offered, and if a series, the total amount authorized and the total amount outstanding;</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or not we will issue the series of debt securities in global form, and, if so, the terms and who the depository will be;</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60"/>
        <w:gridCol w:w="170"/>
        <w:gridCol w:w="7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or not the debt securities will be secured or unsecured, and the terms of any secured debt;</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the subordination of any series of subordinated debt;</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place where payments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transfer, sale or other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right, if any, to defer payment of interest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if any, after which, the conditions upon which, and the price at which, we may, at our option, redeem the series of debt securities pursuant to any optional or provisional redemption provisions and the terms of those redemption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indenture will restrict our ability or the ability of our subsidiaries, if any at such time, to:</w:t>
            </w:r>
          </w:p>
        </w:tc>
      </w:tr>
    </w:tbl>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additional securities;</w:t>
            </w:r>
          </w:p>
        </w:tc>
      </w:tr>
    </w:tbl>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create liens;</w:t>
            </w:r>
          </w:p>
        </w:tc>
      </w:tr>
    </w:tbl>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dividends or make distributions in respect of our capital stock or the capital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redeem capital stock;</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place restrictions on our subsidiaries’ ability to pay dividends, make distributions or transfer assets;</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investments or other restricted payments;</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 or otherwise dispose of assets;</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70"/>
        <w:gridCol w:w="3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sale-leaseback transactions;</w:t>
            </w:r>
          </w:p>
        </w:tc>
      </w:tr>
    </w:tbl>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transactions with stockholders or affiliates;</w:t>
            </w:r>
          </w:p>
        </w:tc>
      </w:tr>
    </w:tbl>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or sell stock of our subsidiaries; or</w:t>
            </w:r>
          </w:p>
        </w:tc>
      </w:tr>
    </w:tbl>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 a consolidation or merger;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60"/>
        <w:gridCol w:w="170"/>
        <w:gridCol w:w="8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discussion of certain material U.S. federal income tax considerations applicable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describing any book-entry features;</w:t>
            </w:r>
          </w:p>
        </w:tc>
      </w:tr>
    </w:tbl>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for a sinking fund purchase or other analogous fund, if any;</w:t>
            </w:r>
          </w:p>
        </w:tc>
      </w:tr>
    </w:tbl>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applicability of the provisions in the indenture on discharge;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debt securities are to be offered at a price such that they will be deemed to be offered at an “original issue discount” as defined in paragraph (a) of Section 1273 of the Internal Revenue Code, as amended;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of payment of debt securities if other than U.S. dollars and the manner of determining the equivalent amount in U.S. dollars;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set forth in the applicable prospectus supplement the terms on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interest when due and payable and our failure continues for 90 days and the time for payment has not been extended;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the principal, premium or sinking fund payment, if any, when due and payable at maturity, upon redemption or repurchase or otherwise, and the time for payment has not been extended;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specified events of bankruptcy, insolvency or reorganization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describe in each applicable prospectus supplement any additional events of default relating to the relevant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an event of default with respect to debt securities of any series occurs and is continuing, other than an event of default specified in the last bullet point above, the trustee or the holders of not less than a majority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direction so given by the holder is not in conflict with any law or the applicable indenture;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 holder of the debt securities of any series will have the right to institute a proceeding under the indentures or to appoint a receiver or trustee, or to seek other remedies if:</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has given written notice to the trustee of a continuing event of default with respect to that series;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periodically file statements with the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 for any series of debt securities that we may issue, we and the trustee may change an indenture without the consent of any holders with respect to the following specific matters:</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fix any ambiguity, defect or inconsistency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the provisions described above under “—Consolidation,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any requirements of the SEC in connection with the qualification of any indenture under the Trust Indenture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the issuance of and establish the form and terms and conditions of the debt securities of any series as provided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evidence and provide for the acceptance of appointment hereunder by a successor trustee;</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uncertificated debt securities and to make all appropriate changes for such purpose;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tc>
      </w:tr>
    </w:tbl>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60"/>
        <w:gridCol w:w="170"/>
        <w:gridCol w:w="9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change anything that does not materially adversely affect the interests of any holder of debt securities of any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extending the stated maturity of the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principal amount, reducing the rate of or extending the time of payment of interest, or reducing any premium payable upon the redemption or repurchase of any debt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Each indenture provides that, subject to the terms of the indenture and any limitation otherwise provided in the prospectus supplement applicable to a particular series of debt securities, we can elect to be discharged from our obligations with respect to one or more series of debt securities, except for specified obligations, including obligations to:</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register the transfer or exchange of debt securities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replace stolen, lost or mutilated debt securities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paying agencies;</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hold monies for payment in trust;</w:t>
            </w:r>
          </w:p>
        </w:tc>
      </w:tr>
    </w:tbl>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 excess money held by the trustee;</w:t>
            </w:r>
          </w:p>
        </w:tc>
      </w:tr>
    </w:tbl>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70"/>
        <w:gridCol w:w="3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compensate and indemnify the trustee; and</w:t>
            </w:r>
          </w:p>
        </w:tc>
      </w:tr>
    </w:tbl>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exercise our rights to be discharged, we must deposit with the trustee money or government obligations sufficient to pay all the principal of, any premium,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420"/>
        <w:jc w:val="both"/>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Ranking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subordinated debt securities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4" w:name="WARRANTS"/>
      <w:bookmarkEnd w:id="184"/>
      <w:r>
        <w:rPr>
          <w:rFonts w:ascii="Times New Roman;Times;serif" w:hAnsi="Times New Roman;Times;serif"/>
          <w:b/>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description, together with the additional information we may include in any applicable prospectus supplements, summarizes the material terms and provisions of the warrants that we may offer under this prospectus and </w:t>
      </w:r>
      <w:r>
        <w:rPr>
          <w:rFonts w:ascii="Times New Roman" w:hAnsi="Times New Roman"/>
          <w:caps w:val="false"/>
          <w:smallCaps w:val="false"/>
          <w:sz w:val="20"/>
        </w:rPr>
        <w:t xml:space="preserve">the </w:t>
      </w:r>
      <w:r>
        <w:rPr>
          <w:rFonts w:ascii="Times New Roman" w:hAnsi="Times New Roman"/>
          <w:i/>
          <w:caps w:val="false"/>
          <w:smallCaps w:val="false"/>
          <w:sz w:val="20"/>
        </w:rPr>
        <w:t>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issue warrants for the purchase of common stock, preferred stock or debt securities, in one or more series. We may issue warrants independently or together with common stock, preferred stock and/or debt securities, and the warrants may be attached to or separate from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plan to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offering price and aggregate number of warrants offered;</w:t>
            </w:r>
          </w:p>
        </w:tc>
      </w:tr>
    </w:tbl>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for which the warrants may be purchased;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date on and after which the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common stock purchasable upon the exercise of one warrant and the price at which these shares may be purchased upon such exercise;</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any merger, consolidation, sale or other disposition of our business on the warrant agreement and the warrants;</w:t>
            </w:r>
          </w:p>
        </w:tc>
      </w:tr>
    </w:tbl>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any rights to redeem or call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for changes to or adjustments in the exercise price or number of securities issuable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periods during which, and places at which, the warrants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manner of exercise;</w:t>
            </w:r>
          </w:p>
        </w:tc>
      </w:tr>
    </w:tbl>
    <w:p>
      <w:pPr>
        <w:pStyle w:val="TextBody"/>
        <w:bidi w:val="0"/>
        <w:spacing w:before="0" w:after="0"/>
        <w:ind w:left="0" w:right="0" w:hanging="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dates on which the right to exercise the warrants will commence and expire;</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manner in which the warrant agreement and warrants may be modified;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a discussion of certain material U.S. federal income tax considerations of holding or exercising the warrants; and</w:t>
            </w:r>
          </w:p>
        </w:tc>
      </w:tr>
    </w:tbl>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5" w:name="UNITS"/>
      <w:bookmarkEnd w:id="185"/>
      <w:r>
        <w:rPr>
          <w:rFonts w:ascii="Times New Roman;Times;serif" w:hAnsi="Times New Roman;Times;serif"/>
          <w:b/>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issue units comprised of common stock, preferred stock, debt securities and warrants to purchase common stock, preferred stock or debt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70"/>
        <w:gridCol w:w="3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of the governing unit agreement;</w:t>
            </w:r>
          </w:p>
        </w:tc>
      </w:tr>
    </w:tbl>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or prices at which such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0"/>
        <w:gridCol w:w="170"/>
        <w:gridCol w:w="6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applicable U.S. federal income tax considerations relating to the units;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terms of the units and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provisions described in this section, as well as those described under “</w:t>
      </w:r>
      <w:r>
        <w:rPr>
          <w:rFonts w:ascii="Times New Roman" w:hAnsi="Times New Roman"/>
          <w:i/>
          <w:caps w:val="false"/>
          <w:smallCaps w:val="false"/>
          <w:sz w:val="20"/>
        </w:rPr>
        <w:t>Description of Capital Stock</w:t>
      </w:r>
      <w:r>
        <w:rPr>
          <w:rFonts w:ascii="Times New Roman" w:hAnsi="Times New Roman"/>
          <w:caps w:val="false"/>
          <w:smallCaps w:val="false"/>
          <w:sz w:val="20"/>
        </w:rPr>
        <w:t>,” “</w:t>
      </w:r>
      <w:r>
        <w:rPr>
          <w:rFonts w:ascii="Times New Roman" w:hAnsi="Times New Roman"/>
          <w:i/>
          <w:caps w:val="false"/>
          <w:smallCaps w:val="false"/>
          <w:sz w:val="20"/>
        </w:rPr>
        <w:t>Description of Debt Securities</w:t>
      </w:r>
      <w:r>
        <w:rPr>
          <w:rFonts w:ascii="Times New Roman" w:hAnsi="Times New Roman"/>
          <w:caps w:val="false"/>
          <w:smallCaps w:val="false"/>
          <w:sz w:val="20"/>
        </w:rPr>
        <w:t>,” and “</w:t>
      </w:r>
      <w:r>
        <w:rPr>
          <w:rFonts w:ascii="Times New Roman" w:hAnsi="Times New Roman"/>
          <w:i/>
          <w:caps w:val="false"/>
          <w:smallCaps w:val="false"/>
          <w:sz w:val="20"/>
        </w:rPr>
        <w:t>Description of Warrants</w:t>
      </w:r>
      <w:r>
        <w:rPr>
          <w:rFonts w:ascii="Times New Roman" w:hAnsi="Times New Roman"/>
          <w:caps w:val="false"/>
          <w:smallCaps w:val="false"/>
          <w:sz w:val="20"/>
        </w:rPr>
        <w:t>” will apply to the securities included in each unit, to the extent relevant and as may be updated in any prospectus supplements. 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6" w:name="DISTRIBUTION"/>
      <w:bookmarkEnd w:id="186"/>
      <w:r>
        <w:rPr>
          <w:rFonts w:ascii="Times New Roman;Times;serif" w:hAnsi="Times New Roman;Times;serif"/>
          <w:b/>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may sell the securities from time to time pursuant to underwritten public offerings, “at the market offerings,” negotiated transactions, block trades, or a combination of these methods or any other method permitted pursuant to applicable law. We may sell the securities to or through one or more underwriters or dealers (acting as principal or agent), through agents, directly to one or more purchasers through a combination of any of those methods of sale or through any other means. We may distribute securities from time to time in one or more transactions:</w:t>
      </w:r>
    </w:p>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a fixed price or prices, which may be changed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170"/>
        <w:gridCol w:w="4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prices related to such prevailing market prices; or</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 prospectus supplement or supplements will describe the terms of the offering of the securities, including, to the extent applicable:</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or names of the underwriters, dealers, or agents, if any;</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purchase price of the securities or other consideration therefor, and the proceeds, if any, we will receive from the sale;</w:t>
            </w:r>
          </w:p>
        </w:tc>
      </w:tr>
    </w:tbl>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over-allotment or other options under which underwriters may purchase additional securities from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agency fees or underwriting discounts or concessions and other items constituting agents’ or underwriters’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public offering price;</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discounts or concessions allowed or reallowed or paid to dealers; and</w:t>
            </w:r>
          </w:p>
        </w:tc>
      </w:tr>
    </w:tbl>
    <w:p>
      <w:pPr>
        <w:pStyle w:val="TextBody"/>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At-the-Market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we reach an agreement with an underwriter on a placement, including the number of shares of stock to be offered in the placement and any minimum price below which sales may not be made, such underwriter would agree to use its commercially reasonable efforts, consistent with its normal trading and sales practices, to try to sell such shares on such terms. Underwriters could make sales in privately negotiated transactions and/or any other method permitted by law, including sales deemed to be an “at-the-market” offering as defined in Rule 415 promulgated under the Securities Act, sales made directly on Nasdaq, the existing trading market for our stock, or sales made to or through a market maker other than on an exchange. The name of any such underwriter or agent involved in the offer and sale of our stock, the amounts underwritten, and the nature of its obligations to take our stock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Underwriters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use underwriters, dealers or agents with whom we have a material relationship. We will describe in the prospectus supplement, naming the underwriter, dealer or agent, the nature of any such relationship.</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We may sell securities directly or through agents we designate from time to time. We may also designate agents to solicit offers to purchase the securities from time to time and may enter into arrangements for “at-the-market,” equity line or similar transactions.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Any underwriters that are qualified market makers on Nasdaq may engage in passive market making transactions in the common stock on Nasdaq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87" w:name="LEGAL"/>
      <w:bookmarkEnd w:id="187"/>
      <w:r>
        <w:rPr>
          <w:rFonts w:ascii="Times New Roman;Times;serif" w:hAnsi="Times New Roman;Times;serif"/>
          <w:b/>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the validity of the securities offered pursuant to this prospectus will be passed upon by Holland &amp; Knight LLP.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88" w:name="EXPERTS"/>
      <w:bookmarkEnd w:id="188"/>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financial statements of Clene Inc. as of and for the years ended December 31, 2024 and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89" w:name="MORE_INFO"/>
      <w:bookmarkEnd w:id="189"/>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including exhibits, under the Securities Act, with respect to the securities offered pursuant to this prospectus. This prospectus is part of the Registration Statement, but does not contain all of the information included in the Registration Statement or the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90" w:name="INCORPORATION_BY_REFERENCE"/>
      <w:bookmarkEnd w:id="190"/>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firstLine="42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our Annual Report on </w:t>
            </w:r>
            <w:hyperlink r:id="rId21">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filed with the SEC on March 24, 2025;</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our Current Reports on Form 8-K filed with the SEC on </w:t>
            </w:r>
            <w:hyperlink r:id="rId22">
              <w:r>
                <w:rPr>
                  <w:rStyle w:val="InternetLink"/>
                  <w:rFonts w:ascii="Times New Roman;Times;serif" w:hAnsi="Times New Roman;Times;serif"/>
                  <w:sz w:val="20"/>
                </w:rPr>
                <w:t>January 30, 2025</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12, 2025</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March 27, 2025</w:t>
              </w:r>
            </w:hyperlink>
            <w:r>
              <w:rPr>
                <w:rFonts w:ascii="Times New Roman;Times;serif" w:hAnsi="Times New Roman;Times;serif"/>
                <w:sz w:val="20"/>
              </w:rPr>
              <w:t xml:space="preserve">, and </w:t>
            </w:r>
            <w:hyperlink r:id="rId25">
              <w:r>
                <w:rPr>
                  <w:rStyle w:val="InternetLink"/>
                  <w:rFonts w:ascii="Times New Roman;Times;serif" w:hAnsi="Times New Roman;Times;serif"/>
                  <w:sz w:val="20"/>
                </w:rPr>
                <w:t>April 8, 2025</w:t>
              </w:r>
            </w:hyperlink>
            <w:r>
              <w:rPr>
                <w:rFonts w:ascii="Times New Roman;Times;serif" w:hAnsi="Times New Roman;Times;serif"/>
                <w:sz w:val="20"/>
              </w:rPr>
              <w:t xml:space="preserve"> (with respect to Item 8.01 only);</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information specifically incorporated by reference into our Annual Report on </w:t>
            </w:r>
            <w:hyperlink r:id="rId26">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from our Definitive Proxy Statement on </w:t>
            </w:r>
            <w:hyperlink r:id="rId27">
              <w:r>
                <w:rPr>
                  <w:rStyle w:val="InternetLink"/>
                  <w:rFonts w:ascii="Times New Roman;Times;serif" w:hAnsi="Times New Roman;Times;serif"/>
                  <w:sz w:val="20"/>
                </w:rPr>
                <w:t>Schedule 14A</w:t>
              </w:r>
            </w:hyperlink>
            <w:r>
              <w:rPr>
                <w:rFonts w:ascii="Times New Roman;Times;serif" w:hAnsi="Times New Roman;Times;serif"/>
                <w:sz w:val="20"/>
              </w:rPr>
              <w:t>, filed with the SEC on April 8, 2025;</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description of our common stock contained in the registration statement on </w:t>
            </w:r>
            <w:hyperlink r:id="rId28">
              <w:r>
                <w:rPr>
                  <w:rStyle w:val="InternetLink"/>
                  <w:rFonts w:ascii="Times New Roman;Times;serif" w:hAnsi="Times New Roman;Times;serif"/>
                  <w:sz w:val="20"/>
                </w:rPr>
                <w:t>Form 8-A</w:t>
              </w:r>
            </w:hyperlink>
            <w:r>
              <w:rPr>
                <w:rFonts w:ascii="Times New Roman;Times;serif" w:hAnsi="Times New Roman;Times;serif"/>
                <w:sz w:val="20"/>
              </w:rPr>
              <w:t xml:space="preserve">, dated December 30, 2020, filed pursuant to Section 12(b) of the Exchange Act, as amended by </w:t>
            </w:r>
            <w:hyperlink r:id="rId29">
              <w:r>
                <w:rPr>
                  <w:rStyle w:val="InternetLink"/>
                  <w:rFonts w:ascii="Times New Roman;Times;serif" w:hAnsi="Times New Roman;Times;serif"/>
                  <w:sz w:val="20"/>
                </w:rPr>
                <w:t>Amendment No. 1 to Form 8-A</w:t>
              </w:r>
            </w:hyperlink>
            <w:r>
              <w:rPr>
                <w:rFonts w:ascii="Times New Roman;Times;serif" w:hAnsi="Times New Roman;Times;serif"/>
                <w:sz w:val="20"/>
              </w:rPr>
              <w:t>, dated February 9, 2021.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including all such reports and other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other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is delivered, a copy of any or all of the information that has been incorporated by reference in the prospectus but not delivered with the prospectus. You may request a copy of any documents incorporated by reference in this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Clene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Salt Lake City, Utah 84121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801-676-9695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or any accompanying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0"/>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2"/>
        </w:rPr>
      </w:pPr>
      <w:r>
        <w:rPr>
          <w:rFonts w:ascii="Times New Roman" w:hAnsi="Times New Roman"/>
          <w:b/>
          <w:caps w:val="false"/>
          <w:smallCaps w:val="false"/>
          <w:sz w:val="52"/>
        </w:rPr>
        <w:t>Clene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bookmarkStart w:id="191" w:name="led401386F20268917889829717041"/>
      <w:bookmarkEnd w:id="191"/>
      <w:r>
        <w:rPr>
          <w:rFonts w:ascii="Times New Roman" w:hAnsi="Times New Roman"/>
          <w:b/>
          <w:caps w:val="false"/>
          <w:smallCaps w:val="false"/>
          <w:sz w:val="24"/>
        </w:rPr>
        <w:t>1,219,513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2" w:name="led401375F20234111683841767294"/>
      <w:bookmarkEnd w:id="192"/>
      <w:r>
        <w:rPr>
          <w:rFonts w:ascii="Times New Roman" w:hAnsi="Times New Roman"/>
          <w:b/>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www.sec.gov/ix?doc=/Archives/edgar/data/0001822791/000143774926008502/clnn20251231_10k.htm" TargetMode="External"/><Relationship Id="rId5" Type="http://schemas.openxmlformats.org/officeDocument/2006/relationships/hyperlink" Target="http://www.sec.gov/ix?doc=/Archives/edgar/data/0001822791/000143774926016878/clnn20260331_10q.htm" TargetMode="External"/><Relationship Id="rId6" Type="http://schemas.openxmlformats.org/officeDocument/2006/relationships/hyperlink" Target="http://www.sec.gov/ix?doc=/Archives/edgar/data/0001822791/000143774926027828/clnn20260630_10q.htm" TargetMode="External"/><Relationship Id="rId7" Type="http://schemas.openxmlformats.org/officeDocument/2006/relationships/hyperlink" Target="http://www.sec.gov/ix?doc=/Archives/edgar/data/0001822791/000143774926001049/clnn20260109_8k.htm" TargetMode="External"/><Relationship Id="rId8" Type="http://schemas.openxmlformats.org/officeDocument/2006/relationships/hyperlink" Target="http://www.sec.gov/ix?doc=/Archives/edgar/data/0001822791/000143774926001196/clnn20260106_8k.htm" TargetMode="External"/><Relationship Id="rId9" Type="http://schemas.openxmlformats.org/officeDocument/2006/relationships/hyperlink" Target="http://www.sec.gov/ix?doc=/Archives/edgar/data/0001822791/000143774926005156/clnn20260223_8k.htm" TargetMode="External"/><Relationship Id="rId10" Type="http://schemas.openxmlformats.org/officeDocument/2006/relationships/hyperlink" Target="http://www.sec.gov/ix?doc=/Archives/edgar/data/0001822791/000143774926008482/clnn20260316_8k.htm" TargetMode="External"/><Relationship Id="rId11" Type="http://schemas.openxmlformats.org/officeDocument/2006/relationships/hyperlink" Target="http://www.sec.gov/ix?doc=/Archives/edgar/data/0001822791/000143774926014542/clnn20260503_8k.htm" TargetMode="External"/><Relationship Id="rId12" Type="http://schemas.openxmlformats.org/officeDocument/2006/relationships/hyperlink" Target="http://www.sec.gov/ix?doc=/Archives/edgar/data/0001822791/000143774926014946/clnn20260417_8k.htm" TargetMode="External"/><Relationship Id="rId13" Type="http://schemas.openxmlformats.org/officeDocument/2006/relationships/hyperlink" Target="http://www.sec.gov/ix?doc=/Archives/edgar/data/0001822791/000143774926016881/clnn20260116_8k.htm" TargetMode="External"/><Relationship Id="rId14" Type="http://schemas.openxmlformats.org/officeDocument/2006/relationships/hyperlink" Target="http://www.sec.gov/ix?doc=/Archives/edgar/data/0001822791/000143774926018267/clnn20260514_8k.htm" TargetMode="External"/><Relationship Id="rId15" Type="http://schemas.openxmlformats.org/officeDocument/2006/relationships/hyperlink" Target="http://www.sec.gov/ix?doc=/Archives/edgar/data/0001822791/000143774926026653/clnn20260806_8k.htm" TargetMode="External"/><Relationship Id="rId16" Type="http://schemas.openxmlformats.org/officeDocument/2006/relationships/hyperlink" Target="http://www.sec.gov/ix?doc=/Archives/edgar/data/0001822791/000143774926008502/clnn20251231_10k.htm" TargetMode="External"/><Relationship Id="rId17" Type="http://schemas.openxmlformats.org/officeDocument/2006/relationships/hyperlink" Target="http://www.sec.gov/Archives/edgar/data/1822791/000143774926012018/clnn20250512_def14a.htm" TargetMode="External"/><Relationship Id="rId18" Type="http://schemas.openxmlformats.org/officeDocument/2006/relationships/hyperlink" Target="http://www.sec.gov/Archives/edgar/data/1822791/000143774926008502/ex_874790.htm" TargetMode="External"/><Relationship Id="rId19" Type="http://schemas.openxmlformats.org/officeDocument/2006/relationships/image" Target="media/image1.png"/><Relationship Id="rId20" Type="http://schemas.openxmlformats.org/officeDocument/2006/relationships/image" Target="media/image3.jpeg"/><Relationship Id="rId21" Type="http://schemas.openxmlformats.org/officeDocument/2006/relationships/hyperlink" Target="http://www.sec.gov/ix?doc=/Archives/edgar/data/0001822791/000143774925008956/clnn20241231_10k.htm" TargetMode="External"/><Relationship Id="rId22" Type="http://schemas.openxmlformats.org/officeDocument/2006/relationships/hyperlink" Target="http://www.sec.gov/Archives/edgar/data/1822791/000143774925002265/clnn20241218_8k.htm" TargetMode="External"/><Relationship Id="rId23" Type="http://schemas.openxmlformats.org/officeDocument/2006/relationships/hyperlink" Target="http://www.sec.gov/ix?doc=/Archives/edgar/data/0001822791/000143774925007120/clnn20250311_8k.htm" TargetMode="External"/><Relationship Id="rId24" Type="http://schemas.openxmlformats.org/officeDocument/2006/relationships/hyperlink" Target="http://www.sec.gov/ix?doc=/Archives/edgar/data/0001822791/000143774925009484/clnn20250319_8k.htm" TargetMode="External"/><Relationship Id="rId25" Type="http://schemas.openxmlformats.org/officeDocument/2006/relationships/hyperlink" Target="http://www.sec.gov/ix?doc=/Archives/edgar/data/0001822791/000143774925011309/clnn20250407_8k.htm" TargetMode="External"/><Relationship Id="rId26" Type="http://schemas.openxmlformats.org/officeDocument/2006/relationships/hyperlink" Target="http://www.sec.gov/ix?doc=/Archives/edgar/data/0001822791/000143774925008956/clnn20241231_10k.htm" TargetMode="External"/><Relationship Id="rId27" Type="http://schemas.openxmlformats.org/officeDocument/2006/relationships/hyperlink" Target="http://www.sec.gov/Archives/edgar/data/1822791/000143774925011400/clnn20250404_def14a.htm" TargetMode="External"/><Relationship Id="rId28" Type="http://schemas.openxmlformats.org/officeDocument/2006/relationships/hyperlink" Target="http://www.sec.gov/Archives/edgar/data/1822791/000121390020045386/ea132360-8a12b_cleneinc.htm" TargetMode="External"/><Relationship Id="rId29" Type="http://schemas.openxmlformats.org/officeDocument/2006/relationships/hyperlink" Target="http://www.sec.gov/Archives/edgar/data/1822791/000121390021007800/ea135056-8a12ba1_cleneinc.htm" TargetMode="External"/><Relationship Id="rId30" Type="http://schemas.openxmlformats.org/officeDocument/2006/relationships/image" Target="media/image1.pn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23962</Words>
  <Characters>128243</Characters>
  <CharactersWithSpaces>152179</CharactersWithSpaces>
  <Paragraphs>1658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