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clnn20260915_8k.htm"/>
      <w:bookmarkStart w:id="1" w:name="ksclnn20260915_8k"/>
      <w:bookmarkStart w:id="2" w:name="clnn20260915_8k.htm"/>
      <w:bookmarkStart w:id="3" w:name="ksclnn20260915_8k"/>
      <w:bookmarkEnd w:id="2"/>
      <w:bookmarkEnd w:id="3"/>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UNITED STATES</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SECURITIES AND EXCHANGE COMMISSION</w:t>
      </w:r>
    </w:p>
    <w:p>
      <w:pPr>
        <w:pStyle w:val="TextBody"/>
        <w:bidi w:val="0"/>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120" w:after="120"/>
        <w:ind w:left="0" w:right="0" w:hanging="0"/>
        <w:jc w:val="center"/>
        <w:rPr>
          <w:rFonts w:ascii="Times New Roman;Times;serif" w:hAnsi="Times New Roman;Times;serif"/>
          <w:b/>
          <w:caps w:val="false"/>
          <w:smallCaps w:val="false"/>
          <w:sz w:val="32"/>
        </w:rPr>
      </w:pPr>
      <w:r>
        <w:rPr>
          <w:rFonts w:ascii="Times New Roman;Times;serif" w:hAnsi="Times New Roman;Times;serif"/>
          <w:b/>
          <w:caps w:val="false"/>
          <w:smallCaps w:val="false"/>
          <w:sz w:val="32"/>
        </w:rPr>
        <w:t>FORM 8-K</w:t>
      </w:r>
    </w:p>
    <w:p>
      <w:pPr>
        <w:pStyle w:val="HorizontalLine"/>
        <w:pBdr>
          <w:bottom w:val="double" w:sz="2" w:space="0" w:color="808080"/>
        </w:pBdr>
        <w:bidi w:val="0"/>
        <w:spacing w:before="0" w:after="283"/>
        <w:jc w:val="left"/>
        <w:rPr/>
      </w:pPr>
      <w:r>
        <w:rPr/>
      </w:r>
    </w:p>
    <w:p>
      <w:pPr>
        <w:pStyle w:val="TextBody"/>
        <w:bidi w:val="0"/>
        <w:spacing w:before="12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w:t>
      </w:r>
    </w:p>
    <w:p>
      <w:pPr>
        <w:pStyle w:val="TextBody"/>
        <w:bidi w:val="0"/>
        <w:spacing w:before="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The Securities Exchange Act of 1934</w:t>
      </w:r>
    </w:p>
    <w:p>
      <w:pPr>
        <w:pStyle w:val="TextBody"/>
        <w:bidi w:val="0"/>
        <w:spacing w:before="120" w:after="12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 of Report (Date of earliest event reported): September 15, 2026</w:t>
      </w:r>
    </w:p>
    <w:p>
      <w:pPr>
        <w:pStyle w:val="HorizontalLine"/>
        <w:pBdr>
          <w:bottom w:val="double" w:sz="2" w:space="0" w:color="808080"/>
        </w:pBdr>
        <w:bidi w:val="0"/>
        <w:spacing w:before="0" w:after="283"/>
        <w:jc w:val="left"/>
        <w:rPr/>
      </w:pPr>
      <w:r>
        <w:rPr/>
      </w:r>
    </w:p>
    <w:p>
      <w:pPr>
        <w:pStyle w:val="TextBody"/>
        <w:bidi w:val="0"/>
        <w:spacing w:before="120" w:after="60"/>
        <w:ind w:left="0" w:right="0" w:hanging="0"/>
        <w:jc w:val="center"/>
        <w:rPr>
          <w:rFonts w:ascii="Times New Roman;Times;serif" w:hAnsi="Times New Roman;Times;serif"/>
          <w:b/>
          <w:caps w:val="false"/>
          <w:smallCaps w:val="false"/>
          <w:sz w:val="44"/>
        </w:rPr>
      </w:pPr>
      <w:r>
        <w:rPr>
          <w:rFonts w:ascii="Times New Roman;Times;serif" w:hAnsi="Times New Roman;Times;serif"/>
          <w:b/>
          <w:caps w:val="false"/>
          <w:smallCaps w:val="false"/>
          <w:sz w:val="44"/>
        </w:rPr>
        <w:t>CLENE INC.</w:t>
      </w:r>
    </w:p>
    <w:p>
      <w:pPr>
        <w:pStyle w:val="TextBody"/>
        <w:bidi w:val="0"/>
        <w:spacing w:before="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6420" w:type="dxa"/>
        <w:jc w:val="left"/>
        <w:tblInd w:w="0" w:type="dxa"/>
        <w:tblLayout w:type="fixed"/>
        <w:tblCellMar>
          <w:top w:w="0" w:type="dxa"/>
          <w:left w:w="0" w:type="dxa"/>
          <w:bottom w:w="0" w:type="dxa"/>
          <w:right w:w="0" w:type="dxa"/>
        </w:tblCellMar>
      </w:tblPr>
      <w:tblGrid>
        <w:gridCol w:w="3200"/>
        <w:gridCol w:w="1910"/>
        <w:gridCol w:w="1310"/>
      </w:tblGrid>
      <w:tr>
        <w:trPr/>
        <w:tc>
          <w:tcPr>
            <w:tcW w:w="320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191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001-39834</w:t>
            </w:r>
          </w:p>
        </w:tc>
        <w:tc>
          <w:tcPr>
            <w:tcW w:w="131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85-2828339</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(State or other jurisdiction</w:t>
            </w:r>
          </w:p>
        </w:tc>
        <w:tc>
          <w:tcPr>
            <w:tcW w:w="19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(Commission File Number)</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(IRS Employer</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of incorporation)</w:t>
            </w:r>
          </w:p>
        </w:tc>
        <w:tc>
          <w:tcPr>
            <w:tcW w:w="19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Identification No.)</w:t>
            </w:r>
          </w:p>
        </w:tc>
      </w:tr>
      <w:tr>
        <w:trPr/>
        <w:tc>
          <w:tcPr>
            <w:tcW w:w="3200" w:type="dxa"/>
            <w:tcBorders/>
            <w:vAlign w:val="center"/>
          </w:tcPr>
          <w:p>
            <w:pPr>
              <w:pStyle w:val="TableContents"/>
              <w:bidi w:val="0"/>
              <w:spacing w:before="0" w:after="283"/>
              <w:jc w:val="left"/>
              <w:rPr/>
            </w:pPr>
            <w:r>
              <w:rPr/>
              <w:t> </w:t>
            </w:r>
          </w:p>
        </w:tc>
        <w:tc>
          <w:tcPr>
            <w:tcW w:w="1910" w:type="dxa"/>
            <w:tcBorders/>
            <w:vAlign w:val="center"/>
          </w:tcPr>
          <w:p>
            <w:pPr>
              <w:pStyle w:val="TableContents"/>
              <w:bidi w:val="0"/>
              <w:spacing w:before="0" w:after="283"/>
              <w:jc w:val="center"/>
              <w:rPr/>
            </w:pPr>
            <w:r>
              <w:rPr/>
              <w:t> </w:t>
            </w:r>
          </w:p>
        </w:tc>
        <w:tc>
          <w:tcPr>
            <w:tcW w:w="1310" w:type="dxa"/>
            <w:tcBorders/>
            <w:vAlign w:val="center"/>
          </w:tcPr>
          <w:p>
            <w:pPr>
              <w:pStyle w:val="TableContents"/>
              <w:bidi w:val="0"/>
              <w:spacing w:before="0" w:after="283"/>
              <w:jc w:val="center"/>
              <w:rPr/>
            </w:pPr>
            <w:r>
              <w:rPr/>
              <w:t> </w:t>
            </w:r>
          </w:p>
        </w:tc>
      </w:tr>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6550 South Millrock Drive, Suite G50</w:t>
            </w:r>
          </w:p>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Salt Lake City, Utah</w:t>
            </w:r>
          </w:p>
        </w:tc>
        <w:tc>
          <w:tcPr>
            <w:tcW w:w="19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84121</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(Address of principal executive offices)</w:t>
            </w:r>
          </w:p>
        </w:tc>
        <w:tc>
          <w:tcPr>
            <w:tcW w:w="19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(Zip Code)</w:t>
            </w:r>
          </w:p>
        </w:tc>
      </w:tr>
    </w:tbl>
    <w:p>
      <w:pPr>
        <w:pStyle w:val="TextBody"/>
        <w:bidi w:val="0"/>
        <w:spacing w:before="12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(801) 676-9695</w:t>
      </w:r>
    </w:p>
    <w:p>
      <w:pPr>
        <w:pStyle w:val="TextBody"/>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(Registrant’s telephone number, including area code)</w:t>
      </w:r>
    </w:p>
    <w:p>
      <w:pPr>
        <w:pStyle w:val="TextBody"/>
        <w:bidi w:val="0"/>
        <w:spacing w:before="120" w:after="6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w:t>
      </w:r>
    </w:p>
    <w:p>
      <w:pPr>
        <w:pStyle w:val="TextBody"/>
        <w:bidi w:val="0"/>
        <w:spacing w:before="0" w:after="120"/>
        <w:ind w:left="0" w:right="0" w:hanging="0"/>
        <w:jc w:val="center"/>
        <w:rPr>
          <w:rFonts w:ascii="Times New Roman;Times;serif" w:hAnsi="Times New Roman;Times;serif"/>
          <w:caps w:val="false"/>
          <w:smallCaps w:val="false"/>
          <w:sz w:val="16"/>
        </w:rPr>
      </w:pPr>
      <w:r>
        <w:rPr>
          <w:rFonts w:ascii="Times New Roman;Times;serif" w:hAnsi="Times New Roman;Times;serif"/>
          <w:caps w:val="false"/>
          <w:smallCaps w:val="false"/>
          <w:sz w:val="16"/>
        </w:rPr>
        <w:t>(Former name or former address, if changed since last report.)</w:t>
      </w:r>
    </w:p>
    <w:p>
      <w:pPr>
        <w:pStyle w:val="HorizontalLine"/>
        <w:pBdr>
          <w:bottom w:val="double" w:sz="2" w:space="0" w:color="808080"/>
        </w:pBdr>
        <w:bidi w:val="0"/>
        <w:spacing w:before="0" w:after="283"/>
        <w:jc w:val="left"/>
        <w:rPr/>
      </w:pPr>
      <w:r>
        <w:rPr/>
      </w:r>
    </w:p>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Check the appropriate box below if the Form 8-K filing is intended to simultaneously satisfy the filing obligation of the registrant under any of the following provisions:</w:t>
      </w:r>
    </w:p>
    <w:tbl>
      <w:tblPr>
        <w:tblW w:w="6610" w:type="dxa"/>
        <w:jc w:val="left"/>
        <w:tblInd w:w="0" w:type="dxa"/>
        <w:tblLayout w:type="fixed"/>
        <w:tblCellMar>
          <w:top w:w="0" w:type="dxa"/>
          <w:left w:w="0" w:type="dxa"/>
          <w:bottom w:w="0" w:type="dxa"/>
          <w:right w:w="0" w:type="dxa"/>
        </w:tblCellMar>
      </w:tblPr>
      <w:tblGrid>
        <w:gridCol w:w="230"/>
        <w:gridCol w:w="6380"/>
      </w:tblGrid>
      <w:tr>
        <w:trPr/>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230"/>
        <w:gridCol w:w="6380"/>
      </w:tblGrid>
      <w:tr>
        <w:trPr/>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230"/>
        <w:gridCol w:w="7970"/>
      </w:tblGrid>
      <w:tr>
        <w:trPr/>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8140" w:type="dxa"/>
        <w:jc w:val="left"/>
        <w:tblInd w:w="0" w:type="dxa"/>
        <w:tblLayout w:type="fixed"/>
        <w:tblCellMar>
          <w:top w:w="0" w:type="dxa"/>
          <w:left w:w="0" w:type="dxa"/>
          <w:bottom w:w="0" w:type="dxa"/>
          <w:right w:w="0" w:type="dxa"/>
        </w:tblCellMar>
      </w:tblPr>
      <w:tblGrid>
        <w:gridCol w:w="230"/>
        <w:gridCol w:w="7910"/>
      </w:tblGrid>
      <w:tr>
        <w:trPr/>
        <w:tc>
          <w:tcPr>
            <w:tcW w:w="23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9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Pre-commencement communications pursuant to Rule 13e-4(c) under the Exchange Act (17 CFR 240.13e-4(c))</w:t>
            </w:r>
          </w:p>
        </w:tc>
      </w:tr>
    </w:tbl>
    <w:p>
      <w:pPr>
        <w:pStyle w:val="TextBody"/>
        <w:bidi w:val="0"/>
        <w:spacing w:before="120" w:after="12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Securities registered pursuant to Section 12(b) of the Act:</w:t>
      </w:r>
    </w:p>
    <w:tbl>
      <w:tblPr>
        <w:tblW w:w="7440" w:type="dxa"/>
        <w:jc w:val="left"/>
        <w:tblInd w:w="0" w:type="dxa"/>
        <w:tblLayout w:type="fixed"/>
        <w:tblCellMar>
          <w:top w:w="0" w:type="dxa"/>
          <w:left w:w="0" w:type="dxa"/>
          <w:bottom w:w="28" w:type="dxa"/>
          <w:right w:w="0" w:type="dxa"/>
        </w:tblCellMar>
      </w:tblPr>
      <w:tblGrid>
        <w:gridCol w:w="2495"/>
        <w:gridCol w:w="60"/>
        <w:gridCol w:w="1475"/>
        <w:gridCol w:w="60"/>
        <w:gridCol w:w="3350"/>
      </w:tblGrid>
      <w:tr>
        <w:trPr/>
        <w:tc>
          <w:tcPr>
            <w:tcW w:w="24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Title of each class</w:t>
            </w:r>
          </w:p>
        </w:tc>
        <w:tc>
          <w:tcPr>
            <w:tcW w:w="60" w:type="dxa"/>
            <w:tcBorders/>
            <w:tcMar>
              <w:bottom w:w="0" w:type="dxa"/>
            </w:tcMar>
            <w:vAlign w:val="center"/>
          </w:tcPr>
          <w:p>
            <w:pPr>
              <w:pStyle w:val="TableContents"/>
              <w:bidi w:val="0"/>
              <w:spacing w:before="0" w:after="283"/>
              <w:jc w:val="left"/>
              <w:rPr/>
            </w:pPr>
            <w:r>
              <w:rPr/>
              <w:t> </w:t>
            </w:r>
          </w:p>
        </w:tc>
        <w:tc>
          <w:tcPr>
            <w:tcW w:w="147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Trading Symbol(s)</w:t>
            </w:r>
          </w:p>
        </w:tc>
        <w:tc>
          <w:tcPr>
            <w:tcW w:w="60" w:type="dxa"/>
            <w:tcBorders/>
            <w:tcMar>
              <w:bottom w:w="0" w:type="dxa"/>
            </w:tcMar>
            <w:vAlign w:val="center"/>
          </w:tcPr>
          <w:p>
            <w:pPr>
              <w:pStyle w:val="TableContents"/>
              <w:bidi w:val="0"/>
              <w:spacing w:before="0" w:after="283"/>
              <w:jc w:val="left"/>
              <w:rPr/>
            </w:pPr>
            <w:r>
              <w:rPr/>
              <w:t> </w:t>
            </w:r>
          </w:p>
        </w:tc>
        <w:tc>
          <w:tcPr>
            <w:tcW w:w="3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18"/>
              </w:rPr>
            </w:pPr>
            <w:r>
              <w:rPr>
                <w:rFonts w:ascii="Times New Roman" w:hAnsi="Times New Roman"/>
                <w:b/>
                <w:caps w:val="false"/>
                <w:smallCaps w:val="false"/>
                <w:sz w:val="18"/>
              </w:rPr>
              <w:t>Name of each exchange on which registered</w:t>
            </w:r>
          </w:p>
        </w:tc>
      </w:tr>
      <w:tr>
        <w:trPr/>
        <w:tc>
          <w:tcPr>
            <w:tcW w:w="2495" w:type="dxa"/>
            <w:tcBorders/>
            <w:tcMar>
              <w:bottom w:w="0" w:type="dxa"/>
            </w:tcMar>
            <w:vAlign w:val="center"/>
          </w:tcPr>
          <w:p>
            <w:pPr>
              <w:pStyle w:val="TableContents"/>
              <w:bidi w:val="0"/>
              <w:spacing w:before="0" w:after="4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$0.0001 par value</w:t>
            </w:r>
          </w:p>
        </w:tc>
        <w:tc>
          <w:tcPr>
            <w:tcW w:w="60" w:type="dxa"/>
            <w:tcBorders/>
            <w:tcMar>
              <w:bottom w:w="0" w:type="dxa"/>
            </w:tcMar>
            <w:vAlign w:val="center"/>
          </w:tcPr>
          <w:p>
            <w:pPr>
              <w:pStyle w:val="TableContents"/>
              <w:bidi w:val="0"/>
              <w:spacing w:before="0" w:after="283"/>
              <w:jc w:val="left"/>
              <w:rPr/>
            </w:pPr>
            <w:r>
              <w:rPr/>
              <w:t> </w:t>
            </w:r>
          </w:p>
        </w:tc>
        <w:tc>
          <w:tcPr>
            <w:tcW w:w="1475" w:type="dxa"/>
            <w:tcBorders/>
            <w:tcMar>
              <w:bottom w:w="0" w:type="dxa"/>
            </w:tcMar>
            <w:vAlign w:val="center"/>
          </w:tcPr>
          <w:p>
            <w:pPr>
              <w:pStyle w:val="TableContents"/>
              <w:bidi w:val="0"/>
              <w:spacing w:before="0" w:after="4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CLNN</w:t>
            </w:r>
          </w:p>
        </w:tc>
        <w:tc>
          <w:tcPr>
            <w:tcW w:w="60" w:type="dxa"/>
            <w:tcBorders/>
            <w:tcMar>
              <w:bottom w:w="0" w:type="dxa"/>
            </w:tcMar>
            <w:vAlign w:val="center"/>
          </w:tcPr>
          <w:p>
            <w:pPr>
              <w:pStyle w:val="TableContents"/>
              <w:bidi w:val="0"/>
              <w:spacing w:before="0" w:after="283"/>
              <w:jc w:val="left"/>
              <w:rPr/>
            </w:pPr>
            <w:r>
              <w:rPr/>
              <w:t> </w:t>
            </w:r>
          </w:p>
        </w:tc>
        <w:tc>
          <w:tcPr>
            <w:tcW w:w="3350" w:type="dxa"/>
            <w:tcBorders/>
            <w:tcMar>
              <w:bottom w:w="0" w:type="dxa"/>
            </w:tcMar>
            <w:vAlign w:val="center"/>
          </w:tcPr>
          <w:p>
            <w:pPr>
              <w:pStyle w:val="TableContents"/>
              <w:bidi w:val="0"/>
              <w:spacing w:before="0" w:after="4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The Nasdaq Capital Market</w:t>
            </w:r>
          </w:p>
        </w:tc>
      </w:tr>
    </w:tbl>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Emerging growth company ☐</w:t>
      </w:r>
    </w:p>
    <w:p>
      <w:pPr>
        <w:pStyle w:val="TextBody"/>
        <w:bidi w:val="0"/>
        <w:spacing w:before="120" w:after="120"/>
        <w:ind w:left="0" w:right="0" w:hanging="0"/>
        <w:jc w:val="both"/>
        <w:rPr>
          <w:rFonts w:ascii="Times New Roman;Times;serif" w:hAnsi="Times New Roman;Times;serif"/>
          <w:caps w:val="false"/>
          <w:smallCaps w:val="false"/>
          <w:sz w:val="18"/>
        </w:rPr>
      </w:pPr>
      <w:r>
        <w:rPr>
          <w:rFonts w:ascii="Times New Roman;Times;serif" w:hAnsi="Times New Roman;Times;serif"/>
          <w:caps w:val="false"/>
          <w:smallCaps w:val="false"/>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1.01 Entry into a Material Definitive Agreement.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September 15, 2026, Clene Inc. (the “Company”) entered into a securities purchase agreement (the “Securities Purchase Agreement”) with certain existing stockholders, including certain of the Company’s directors and officers (the “Purchasers”), pursuant to which the Company agreed to issue and sell an aggregate of 1,219,513 shares of the Company’s common stock, par value $0.0001 per share (“common stock”), at an offering price of $3.28 per share. The offering is being made without a placement agent, underwriter, broker or dealer and the Company is not paying underwriting discounts or commissions. The aggregate gross proceeds from the offering will be approximately $4.0 million, and the Company will incur an insignificant amount of offering expenses. The closing of the offering is expected to occur on September 17,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expects to use the net proceeds from the offering, together with its existing cash, for expenses primarily related to general corporate purposes, including to fund the effort supporting the continued regulatory dialogue and preparation of regulatory filings and a new drug application for the Company’s lead drug candidate, CNM-Au8, including expanded access protocols, potential future commercialization efforts and manufacturing expansion.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Securities Purchase Agreement contains customary representations, warranties, covenants and agreements by the Company, customary conditions to closing, indemnification obligations of the Company to the Purchasers, including for liabilities under the Securities Act of 1933, as amended, other obligations of the parties and termination provisions.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foregoing descriptions of the Securities Purchase Agreement does not purport to be complete and is qualified in its entirety by reference to the text of the Securities Purchase Agreement, which is filed as Exhibit 10.1 to this Current Report on Form 8-K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offering was made pursuant to the Company’s registration statement on Form S-3 (file number 333-286058) (the “Registration Statement”), filed with the Securities and Exchange Commission (the “SEC”) on March 24, 2025 and declared effective on April 25, 2025, and the Company’s prospectus supplement relating to the offering which was filed with the SEC on September 16, 2026, that forms part of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copy of the legal opinion of Dorsey &amp; Whitney LLP relating to the validity of the shares in connection with the offering is filed as Exhibit 5.1 to this Current Report on Form 8-K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Current Report on Form 8-K shall not constitute an offer to sell or the solicitation of an offer to buy securities, nor shall there be any offer, solicitation or sale of securities in any state or jurisdiction in which such offer, solicitation or sale would be unlawful prior to registration or qualification under the securities laws of any such state or other jurisdiction.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8.01 Other Events.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September 15, 2026, the Company issued a press release announcing the offering. A copy of the press release is filed as Exhibit 99.1 to this Current Report on Form 8-K and is incorporated herein by reference.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0"/>
        <w:ind w:left="0" w:right="0" w:hanging="0"/>
        <w:jc w:val="both"/>
        <w:rPr/>
      </w:pPr>
      <w:r>
        <w:rPr/>
        <w:t> </w:t>
      </w:r>
    </w:p>
    <w:tbl>
      <w:tblPr>
        <w:tblW w:w="7180" w:type="dxa"/>
        <w:jc w:val="left"/>
        <w:tblInd w:w="0" w:type="dxa"/>
        <w:tblLayout w:type="fixed"/>
        <w:tblCellMar>
          <w:top w:w="0" w:type="dxa"/>
          <w:left w:w="0" w:type="dxa"/>
          <w:bottom w:w="28" w:type="dxa"/>
          <w:right w:w="0" w:type="dxa"/>
        </w:tblCellMar>
      </w:tblPr>
      <w:tblGrid>
        <w:gridCol w:w="1175"/>
        <w:gridCol w:w="60"/>
        <w:gridCol w:w="5945"/>
      </w:tblGrid>
      <w:tr>
        <w:trPr/>
        <w:tc>
          <w:tcPr>
            <w:tcW w:w="1175" w:type="dxa"/>
            <w:tcBorders>
              <w:bottom w:val="single" w:sz="2" w:space="0" w:color="000000"/>
            </w:tcBorders>
            <w:vAlign w:val="center"/>
          </w:tcPr>
          <w:p>
            <w:pPr>
              <w:pStyle w:val="TableContents"/>
              <w:bidi w:val="0"/>
              <w:spacing w:before="0" w:after="283"/>
              <w:jc w:val="center"/>
              <w:rPr>
                <w:b/>
                <w:sz w:val="16"/>
              </w:rPr>
            </w:pPr>
            <w:r>
              <w:rPr>
                <w:b/>
                <w:sz w:val="16"/>
              </w:rPr>
              <w:t>Exhibit Number</w:t>
            </w:r>
          </w:p>
        </w:tc>
        <w:tc>
          <w:tcPr>
            <w:tcW w:w="60" w:type="dxa"/>
            <w:tcBorders/>
            <w:tcMar>
              <w:bottom w:w="0" w:type="dxa"/>
            </w:tcMar>
            <w:vAlign w:val="center"/>
          </w:tcPr>
          <w:p>
            <w:pPr>
              <w:pStyle w:val="TableContents"/>
              <w:bidi w:val="0"/>
              <w:spacing w:before="0" w:after="283"/>
              <w:jc w:val="left"/>
              <w:rPr/>
            </w:pPr>
            <w:r>
              <w:rPr/>
              <w:t> </w:t>
            </w:r>
          </w:p>
        </w:tc>
        <w:tc>
          <w:tcPr>
            <w:tcW w:w="5945" w:type="dxa"/>
            <w:tcBorders>
              <w:bottom w:val="single" w:sz="2" w:space="0" w:color="000000"/>
            </w:tcBorders>
            <w:vAlign w:val="center"/>
          </w:tcPr>
          <w:p>
            <w:pPr>
              <w:pStyle w:val="TableContents"/>
              <w:bidi w:val="0"/>
              <w:spacing w:before="0" w:after="283"/>
              <w:jc w:val="center"/>
              <w:rPr>
                <w:b/>
                <w:sz w:val="16"/>
              </w:rPr>
            </w:pPr>
            <w:r>
              <w:rPr>
                <w:b/>
                <w:sz w:val="16"/>
              </w:rPr>
              <w:t>Exhibit Description</w:t>
            </w:r>
          </w:p>
        </w:tc>
      </w:tr>
      <w:tr>
        <w:trPr/>
        <w:tc>
          <w:tcPr>
            <w:tcW w:w="1175" w:type="dxa"/>
            <w:tcBorders/>
            <w:tcMar>
              <w:bottom w:w="0" w:type="dxa"/>
            </w:tcMar>
            <w:vAlign w:val="center"/>
          </w:tcPr>
          <w:p>
            <w:pPr>
              <w:pStyle w:val="TableContents"/>
              <w:bidi w:val="0"/>
              <w:spacing w:before="0" w:after="283"/>
              <w:jc w:val="left"/>
              <w:rPr/>
            </w:pPr>
            <w:r>
              <w:rPr/>
              <w:t>5.1</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hyperlink w:anchor="ex_947318.htm">
              <w:r>
                <w:rPr>
                  <w:rStyle w:val="InternetLink"/>
                </w:rPr>
                <w:t>Opinion of Dorsey &amp; Whitney LLP.</w:t>
              </w:r>
            </w:hyperlink>
          </w:p>
        </w:tc>
      </w:tr>
      <w:tr>
        <w:trPr/>
        <w:tc>
          <w:tcPr>
            <w:tcW w:w="1175"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hyperlink w:anchor="ex_1016887.htm">
              <w:r>
                <w:rPr>
                  <w:rStyle w:val="InternetLink"/>
                </w:rPr>
                <w:t>Form of Securities Purchase Agreement.</w:t>
              </w:r>
            </w:hyperlink>
          </w:p>
        </w:tc>
      </w:tr>
      <w:tr>
        <w:trPr/>
        <w:tc>
          <w:tcPr>
            <w:tcW w:w="1175" w:type="dxa"/>
            <w:tcBorders/>
            <w:tcMar>
              <w:bottom w:w="0" w:type="dxa"/>
            </w:tcMar>
            <w:vAlign w:val="center"/>
          </w:tcPr>
          <w:p>
            <w:pPr>
              <w:pStyle w:val="TableContents"/>
              <w:bidi w:val="0"/>
              <w:spacing w:before="0" w:after="283"/>
              <w:jc w:val="left"/>
              <w:rPr/>
            </w:pPr>
            <w:r>
              <w:rPr/>
              <w:t>23.1</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hyperlink w:anchor="ex_947318.htm">
              <w:r>
                <w:rPr>
                  <w:rStyle w:val="InternetLink"/>
                </w:rPr>
                <w:t>Consent of Dorsey &amp; Whitney LLP (contained in Exhibit 5.1).</w:t>
              </w:r>
            </w:hyperlink>
          </w:p>
        </w:tc>
      </w:tr>
      <w:tr>
        <w:trPr/>
        <w:tc>
          <w:tcPr>
            <w:tcW w:w="1175"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hyperlink w:anchor="ex_1016807.htm">
              <w:r>
                <w:rPr>
                  <w:rStyle w:val="InternetLink"/>
                </w:rPr>
                <w:t>Press release, dated September 15, 2026.</w:t>
              </w:r>
            </w:hyperlink>
          </w:p>
        </w:tc>
      </w:tr>
      <w:tr>
        <w:trPr/>
        <w:tc>
          <w:tcPr>
            <w:tcW w:w="1175"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5945" w:type="dxa"/>
            <w:tcBorders/>
            <w:tcMar>
              <w:bottom w:w="0" w:type="dxa"/>
            </w:tcMar>
            <w:vAlign w:val="center"/>
          </w:tcPr>
          <w:p>
            <w:pPr>
              <w:pStyle w:val="TableContents"/>
              <w:bidi w:val="0"/>
              <w:spacing w:before="0" w:after="283"/>
              <w:jc w:val="left"/>
              <w:rPr/>
            </w:pPr>
            <w:r>
              <w:rPr/>
              <w:t>Cover Page Interactive Data File (formatted as Inline XBRL).</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5520" w:type="dxa"/>
        <w:jc w:val="left"/>
        <w:tblInd w:w="0" w:type="dxa"/>
        <w:tblLayout w:type="fixed"/>
        <w:tblCellMar>
          <w:top w:w="0" w:type="dxa"/>
          <w:left w:w="0" w:type="dxa"/>
          <w:bottom w:w="0" w:type="dxa"/>
          <w:right w:w="0" w:type="dxa"/>
        </w:tblCellMar>
      </w:tblPr>
      <w:tblGrid>
        <w:gridCol w:w="2120"/>
        <w:gridCol w:w="320"/>
        <w:gridCol w:w="3080"/>
      </w:tblGrid>
      <w:tr>
        <w:trPr/>
        <w:tc>
          <w:tcPr>
            <w:tcW w:w="212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CLENE INC.</w:t>
            </w:r>
          </w:p>
        </w:tc>
      </w:tr>
      <w:tr>
        <w:trPr/>
        <w:tc>
          <w:tcPr>
            <w:tcW w:w="2120" w:type="dxa"/>
            <w:tcBorders/>
            <w:vAlign w:val="center"/>
          </w:tcPr>
          <w:p>
            <w:pPr>
              <w:pStyle w:val="TableContents"/>
              <w:bidi w:val="0"/>
              <w:spacing w:before="0" w:after="283"/>
              <w:jc w:val="left"/>
              <w:rPr/>
            </w:pPr>
            <w:r>
              <w:rPr/>
              <w:t> </w:t>
            </w:r>
          </w:p>
        </w:tc>
        <w:tc>
          <w:tcPr>
            <w:tcW w:w="3400" w:type="dxa"/>
            <w:gridSpan w:val="2"/>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September 16,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Etherington</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Etherington</w:t>
            </w:r>
          </w:p>
        </w:tc>
      </w:tr>
      <w:tr>
        <w:trPr/>
        <w:tc>
          <w:tcPr>
            <w:tcW w:w="212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xml:space="preserve">2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 w:name="ex_1016806.htm"/>
      <w:bookmarkStart w:id="5" w:name="ksex_1016806"/>
      <w:bookmarkEnd w:id="4"/>
      <w:bookmarkEnd w:id="5"/>
      <w:r>
        <w:rPr>
          <w:rFonts w:ascii="Times New Roman;Times;serif" w:hAnsi="Times New Roman;Times;serif"/>
          <w:b/>
          <w:sz w:val="20"/>
        </w:rPr>
        <w:t>Exhibit 5.1</w:t>
      </w:r>
      <w:r>
        <w:br w:type="page"/>
      </w:r>
    </w:p>
    <w:p>
      <w:pPr>
        <w:pStyle w:val="TextBody"/>
        <w:bidi w:val="0"/>
        <w:spacing w:before="0" w:after="0"/>
        <w:ind w:left="0" w:right="0" w:hanging="0"/>
        <w:jc w:val="right"/>
        <w:rPr/>
      </w:pPr>
      <w:r>
        <w:rPr/>
        <w:t> </w:t>
      </w:r>
    </w:p>
    <w:p>
      <w:pPr>
        <w:pStyle w:val="TextBody"/>
        <w:bidi w:val="0"/>
        <w:spacing w:before="0" w:after="283"/>
        <w:jc w:val="left"/>
        <w:rPr/>
      </w:pPr>
      <w:r>
        <w:rPr/>
        <w:drawing>
          <wp:inline distT="0" distB="0" distL="0" distR="0">
            <wp:extent cx="20002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0250" cy="361950"/>
                    </a:xfrm>
                    <a:prstGeom prst="rect">
                      <a:avLst/>
                    </a:prstGeom>
                  </pic:spPr>
                </pic:pic>
              </a:graphicData>
            </a:graphic>
          </wp:inline>
        </w:drawing>
      </w:r>
    </w:p>
    <w:p>
      <w:pPr>
        <w:pStyle w:val="TextBody"/>
        <w:bidi w:val="0"/>
        <w:spacing w:before="0" w:after="0"/>
        <w:ind w:left="0" w:right="0" w:hanging="0"/>
        <w:jc w:val="right"/>
        <w:rPr>
          <w:rFonts w:ascii="Times New Roman" w:hAnsi="Times New Roman"/>
          <w:sz w:val="20"/>
        </w:rPr>
      </w:pPr>
      <w:r>
        <w:rPr>
          <w:rFonts w:ascii="Times New Roman" w:hAnsi="Times New Roman"/>
          <w:sz w:val="20"/>
        </w:rPr>
        <w:t>September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Clene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6550 South Millrock Drive, Suite G50</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Salt Lake City, Utah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Re:           </w:t>
      </w:r>
      <w:r>
        <w:rPr>
          <w:rFonts w:ascii="Times New Roman" w:hAnsi="Times New Roman"/>
          <w:caps w:val="false"/>
          <w:smallCaps w:val="false"/>
          <w:sz w:val="20"/>
          <w:u w:val="single"/>
        </w:rPr>
        <w:t>Registration Statement on Form S-3 (File No. 333-286058)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acted as counsel to Clene Inc., a Delaware corporation (the “Company”), in connection with the filing by the Company with the Securities and Exchange Commission (the “Commission”) of a Prospectus Supplement (the “Prospectus Supplement”), dated September 15, 2026, to the Prospectus, dated April 25, 2025, included in the Registration Statement on Form S-3 (File No. 333-286058) (the “Registration Statement”) filed by the Company with the Commission under the Securities Act of 1933, as amended (the “Securities Act”), relating to the offer and sale by the Company of 1,219,513 shares of common stock, par value $0.0001 per share, of the Company (the “Shares”). The Shares were sold pursuant to a Securities Purchase Agreement (the “Purchase Agreement”), dated September 16, 2025, between the Company and the representative of the several underwriters named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Based on the foregoing, we are of the opinion that the Shares, when issued and delivered against payment of the consideration therefor specified in the Purchase Agreement, will be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opinions expressed above are limited to the Delaware General Corporation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60"/>
        <w:gridCol w:w="2165"/>
      </w:tblGrid>
      <w:tr>
        <w:trPr/>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Very truly yours,</w:t>
            </w:r>
          </w:p>
        </w:tc>
      </w:tr>
      <w:tr>
        <w:trPr/>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Dorsey &amp; Whitney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JBE/DFM</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6" w:name="ex_1016887.htm"/>
      <w:bookmarkStart w:id="7" w:name="ksex_1016887"/>
      <w:bookmarkEnd w:id="6"/>
      <w:bookmarkEnd w:id="7"/>
      <w:r>
        <w:rPr>
          <w:rFonts w:ascii="Times New Roman;Times;serif" w:hAnsi="Times New Roman;Times;serif"/>
          <w:b/>
          <w:sz w:val="20"/>
        </w:rPr>
        <w:t>Exhibit 10.1</w:t>
      </w:r>
      <w:r>
        <w:br w:type="page"/>
      </w:r>
    </w:p>
    <w:p>
      <w:pPr>
        <w:pStyle w:val="TextBody"/>
        <w:bidi w:val="0"/>
        <w:spacing w:before="0" w:after="0"/>
        <w:ind w:left="0" w:right="0" w:hanging="0"/>
        <w:jc w:val="both"/>
        <w:rPr/>
      </w:pPr>
      <w:r>
        <w:rPr/>
        <w:t> </w:t>
      </w:r>
    </w:p>
    <w:p>
      <w:pPr>
        <w:pStyle w:val="TextBody"/>
        <w:bidi w:val="0"/>
        <w:spacing w:before="0" w:after="0"/>
        <w:ind w:left="720" w:right="0" w:hanging="720"/>
        <w:jc w:val="center"/>
        <w:rPr>
          <w:rFonts w:ascii="Times New Roman" w:hAnsi="Times New Roman"/>
          <w:b/>
          <w:caps w:val="false"/>
          <w:smallCaps w:val="false"/>
          <w:sz w:val="20"/>
        </w:rPr>
      </w:pPr>
      <w:r>
        <w:rPr>
          <w:rFonts w:ascii="Times New Roman" w:hAnsi="Times New Roman"/>
          <w:b/>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Securities Purchase Agreement (this “Agreement”) is dated as of September 15, 2026, between Clene Inc., a Delaware corporation (the “Company”), and each purchaser identified on the signature pages hereto (each, including its successors and assigns, a “Purchaser” and collectively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w:t>
      </w:r>
      <w:r>
        <w:rPr>
          <w:rFonts w:ascii="Times New Roman" w:hAnsi="Times New Roman"/>
          <w:caps w:val="false"/>
          <w:smallCaps w:val="false"/>
          <w:sz w:val="20"/>
        </w:rPr>
        <w:b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1.1 </w:t>
      </w:r>
      <w:r>
        <w:rPr>
          <w:rFonts w:ascii="Times New Roman" w:hAnsi="Times New Roman"/>
          <w:caps w:val="false"/>
          <w:smallCaps w:val="false"/>
          <w:sz w:val="20"/>
          <w:u w:val="single"/>
        </w:rPr>
        <w:t>Definitions</w:t>
      </w:r>
      <w:r>
        <w:rPr>
          <w:rFonts w:ascii="Times New Roman" w:hAnsi="Times New Roman"/>
          <w:caps w:val="false"/>
          <w:smallCaps w:val="false"/>
          <w:sz w:val="20"/>
        </w:rPr>
        <w:t>. In addition to the terms defined elsewhere in this Agreement, for all purposes of this Agreement, the following terms have the meanings set forth in this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 w:hAnsi="Times New Roman"/>
          <w:caps w:val="false"/>
          <w:smallCaps w:val="false"/>
          <w:sz w:val="20"/>
        </w:rPr>
        <w:t>Acquiring Person” shall have the meaning ascribed to such term in Section 4.5.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Action” shall have the meaning ascribed to such term in Section 3.1(j).</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Affiliate”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Applicable Data Privacy and Security Requirements” means, as applicable: (i) Privacy Laws; (ii) the Company’s and its Subsidiaries’ own policies, procedures, rules, and notices relating to data privacy and cybersecurity and the collection, storage, use, disclosure, processing, and analysis of Personal Data; and (iii) contractual requirements with which the Company or its Subsidiaries have agreed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BHCA” shall have the meaning ascribed to such term in Section 3.1(mm).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Board of Directors” means the board of directors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 xml:space="preserve">Business Day” means any day other than Saturday, Sunday or other day on which commercial banks in The City of New York are authorized or required by law to remain closed;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Closing” means the closing of the purchase and sale of the Shares pursuant to Section 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Closing Date” means the Trading Day on which all of the Transaction Documents have been executed and delivered by the applicable parties thereto, and all conditions precedent to: (i) the Purchasers’ obligations to pay the Subscription Amount and (ii) the Company’s obligations to deliver the Shares, in each case, have been satisfied or waived, but in no event later than the first (1st ) Trading Day following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Common Stock” means the common stock of the Company, par value $0.0001 per share, and any other class of securities into which such securities may hereafter be reclassified or 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Common Stock Equivalents”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Company Counsel” means Dorsey &amp; Whitney LLP, with offices located at 111 S Main Street, Salt Lake City, Utah 84111.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Disclosure Time”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Evaluation Date” shall have the meaning ascribed to such term in Section 3.1(s).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Exchange Act” means the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FCPA” means the Foreign Corrupt Practices Act of 1977,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FDA” shall have the meaning ascribed to such term in Section 3.1(hh).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GAAP” shall have the meaning ascribed to such term in Section 3.1(h).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Governmental Authority” means any transnational, domestic or foreign, federal, state or local governmental, legislative, regulatory or administrative authority, department, court, agency or official, including any political subdivision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HHS” shall have the meaning ascribed to such term in Section 3.1(hh).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HIPAA” shall have the meaning ascribed to such term in Section 3.1(hh).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Indebtedness” shall have the meaning ascribed to such term in Section 3.1(aa).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Intellectual Property Rights” shall have the meaning ascribed to such term in Section 3.1(p).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IT Systems and Company Data” means: (i) the Company’s and its Subsidiaries’ information technology assets and equipment, computers, systems, networks, devices, hardware, software, websites, applications (“IT Systems”); and (ii) Personal Data and other data and information relating to customers, employees, suppliers, vendors, service providers, website or application users and visitors, other natural persons and any third party data maintained by or on behalf the Company or any of its Subsidiaries (“Company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Liens” means a lien, charge, pledge, security interest, encumbrance, right of first refusal, preemptive right or other restriction.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Material Adverse Effect” shall have the meaning assigned to such term in Section 3.1(b).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Material Permits” shall have the meaning ascribed to such term in Section 3.1(n).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Money Laundering Laws” shall have the meaning ascribed to such term in Section 3.1(oo).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OFAC” shall have the meaning ascribed to such term in Section 3.1(ll).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Per Share Purchase Price” equals $3.28,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Person”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Privacy Laws” means: (i) any federal, state, local, foreign, or international law (including common law), statute, ordinance, code, rule, regulation, order, injunction, judgment, decree, ruling or other similar requirement enacted, adopted, promulgated or applied by a Governmental Authority that is legally binding and that relates to the collection, receipt, use, storage, disclosure, security, and other processing of Personal Data including, but not limited to, the California Consumer Privacy Act of 2018 (CCPA), the Health Insurance Portability and Accountability Act of 1996 (HIPAA), the FTC Act, the EU ePrivacy Directive, and the General Data Protection Regulation (including any implementing legislation in the European Union and/or the United Kingdom), in each case as amended, superseded, or replaced; (ii) any requirements and guidance set forth in regulations and guidelines published by regulatory authorities such as the Federal Trade Commission, the Federal Drug Administration, and responsible European Union and United Kingdom data protection authorities; (iii) any rules or requirements of self-regulatory organizations in which the Company or its Subsidiaries are or have been a member, or with which the Company or its Subsidiaries are or have been contractually obligated to comply including, but not limited to, the Payment Card Industry Data Security Standards (PCI-DSS); and (iv) any requirements arising out of self-certification mechanisms with which the Company or any of its Subsidiaries have committed to comply.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Proceeding”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Prospectus” means the final base prospectus filed pursuant to the Registration Statement, including all information, documents and exhibits filed with or incorporated by reference into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Prospectus Supplement”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Purchaser Party” shall have the meaning ascribed to such term in Section 4.8.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Registration Statement” means the effective registration statement on Form S-3 (File No. 333-286058) filed with the Commission, including all information, documents and exhibits filed with or incorporated by reference into such Registration Statement, which registers the sale of the Shares to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Required Approvals” shall have the meaning ascribed to such term in Section 3.1(e).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Rule 144”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Rule 424”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SEC Reports” shall have the meaning ascribed to such term in Section 3.1(h).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Securities Act” means the Securities Act of 1933,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Security Incident” means a breach of security, data breach, compromises, violations, outages, or unauthorized access, use, alternation, loss or disclosure of or relating to any IT Systems and Company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Shares” means the shares of Common Stock purchased by the Purchasers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Short Sales” means all “short sales” as defined in Rule 200 of Regulation SHO under the Exchange Act (but shall not be deemed to include locating and/or borrowing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Subscription Amount” means, as to each Purchaser, the aggregate amount to be paid for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Subsidiary” means any subsidiary of the Company as set forth in the SEC Reports, and shall, where applicable, also include any direct or indirect subsidiary of the Company formed or acquired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Trading Day”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Trading Market”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Transaction Documents” means this Agreement and all exhibits and schedules thereto and hereto and any other documents or agreements executed in connection with the transactions contemplated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 w:hAnsi="Times New Roman"/>
          <w:caps w:val="false"/>
          <w:smallCaps w:val="false"/>
          <w:sz w:val="20"/>
        </w:rPr>
        <w:t>Transfer Agent” means Equiniti Trust Company, LLC, the current transfer agent of the Company, and any successor transfer agent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w:t>
      </w:r>
      <w:r>
        <w:rPr>
          <w:rFonts w:ascii="Times New Roman" w:hAnsi="Times New Roman"/>
          <w:caps w:val="false"/>
          <w:smallCaps w:val="false"/>
          <w:sz w:val="20"/>
        </w:rPr>
        <w:br/>
        <w:t>PURCHASE AND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2.1 </w:t>
      </w:r>
      <w:r>
        <w:rPr>
          <w:rFonts w:ascii="Times New Roman" w:hAnsi="Times New Roman"/>
          <w:caps w:val="false"/>
          <w:smallCaps w:val="false"/>
          <w:sz w:val="20"/>
          <w:u w:val="single"/>
        </w:rPr>
        <w:t>Closing</w:t>
      </w:r>
      <w:r>
        <w:rPr>
          <w:rFonts w:ascii="Times New Roman" w:hAnsi="Times New Roman"/>
          <w:caps w:val="false"/>
          <w:smallCaps w:val="false"/>
          <w:sz w:val="20"/>
        </w:rPr>
        <w:t>. On the Closing Date, upon the terms and subject to the conditions set forth herein, the Company agrees to sell, and the Purchasers, severally and not jointly, agree to purchase, up to an aggregate of $4,000,000 of Shares.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 Notwithstanding anything herein to the contrary, if at any time on or after the time of execution and delivery of this Agreement by the Company and an applicable Purchaser, through, and including the time immediately prior to the Closing (the “Pre-Settlement Period”), such Purchaser sells to any Person all, or any portion, of the Shares to be issued hereunder to such Purchaser at the Closing (collectively, the “Pre-Settlement Shares”), such Purchaser shall, automatically hereunder (without any additional required actions by such Purchaser or the Company), be deemed to be unconditionally bound to purchase, such Pre-Settlement Shares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2.2 </w:t>
      </w:r>
      <w:r>
        <w:rPr>
          <w:rFonts w:ascii="Times New Roman" w:hAnsi="Times New Roman"/>
          <w:caps w:val="false"/>
          <w:smallCaps w:val="false"/>
          <w:sz w:val="20"/>
          <w:u w:val="single"/>
        </w:rPr>
        <w:t>Deliveries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On or prior to the Closing Date (except as indicated below), the Company shall deliver or cause to be delivered to each Purchaser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this Agreement duly executed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subject to Section 2.1, the Company shall have provided each Purchaser with the Company’s wire instructions, on Company letterhead and executed by the Chief Executive Officer or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subject to Section 2.1, a copy of the irrevocable instructions to the Transfer Agent instructing the Transfer Agent to deliver on an expedited basis via The Depository Trust Company Deposit or Withdrawal at Custodian system (“DWAC”) Shares equal to such Purchaser’s Subscription Amount divided by the Per Share Purchase Price, registered in the name of such Purchaser;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the Prospectus and the Prospectus Supplement (which may be deemed to be delivered in accordance with Rule 172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On or prior to the Closing Date, each Purchaser shall deliver or cause to be delivered to the Company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this Agreement, duly executed by such Purchaser;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such Purchaser’s Subscription Amount in immediately available funds, which is not required to be delivered until after such Purchaser receives the irrevocable instructions to the Transfer Agent pursuant to Section 2.2(a)iii).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2.3 </w:t>
      </w:r>
      <w:r>
        <w:rPr>
          <w:rFonts w:ascii="Times New Roman" w:hAnsi="Times New Roman"/>
          <w:caps w:val="false"/>
          <w:smallCaps w:val="false"/>
          <w:sz w:val="20"/>
          <w:u w:val="single"/>
        </w:rPr>
        <w:t>Closing Conditions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all obligations, covenants and agreements of each Purchaser required to be performed at or prior to the Closing Date shall have been performed in all material respects;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the delivery by each Purchaser of the items set forth in Section 2.2(b)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(b) The respective obligations of the Purchasers hereunder in connection with the Closing are subject to the following conditions being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(iii) the delivery by the Company of the items set forth in Section 2.2(a)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(iv) there shall have been no Material Adverse Effect with respect to the Company since the date hereof;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 w:hAnsi="Times New Roman"/>
          <w:caps w:val="false"/>
          <w:smallCaps w:val="false"/>
          <w:sz w:val="20"/>
        </w:rPr>
      </w:pPr>
      <w:r>
        <w:rPr>
          <w:rFonts w:ascii="Times New Roman" w:hAnsi="Times New Roman"/>
          <w:caps w:val="false"/>
          <w:smallCaps w:val="false"/>
          <w:sz w:val="20"/>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III</w:t>
      </w:r>
      <w:r>
        <w:rPr>
          <w:rFonts w:ascii="Times New Roman" w:hAnsi="Times New Roman"/>
          <w:caps w:val="false"/>
          <w:smallCaps w:val="false"/>
          <w:sz w:val="20"/>
        </w:rPr>
        <w:br/>
        <w:t>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3.1 </w:t>
      </w:r>
      <w:r>
        <w:rPr>
          <w:rFonts w:ascii="Times New Roman" w:hAnsi="Times New Roman"/>
          <w:caps w:val="false"/>
          <w:smallCaps w:val="false"/>
          <w:sz w:val="20"/>
          <w:u w:val="single"/>
        </w:rPr>
        <w:t>Representations and Warranties of the Company</w:t>
      </w:r>
      <w:r>
        <w:rPr>
          <w:rFonts w:ascii="Times New Roman" w:hAnsi="Times New Roman"/>
          <w:caps w:val="false"/>
          <w:smallCaps w:val="false"/>
          <w:sz w:val="20"/>
        </w:rPr>
        <w:t>. Except as set forth in the SEC Reports, the Company hereby makes the following representations and warranties to each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Subsidiaries</w:t>
      </w:r>
      <w:r>
        <w:rPr>
          <w:rFonts w:ascii="Times New Roman" w:hAnsi="Times New Roman"/>
          <w:caps w:val="false"/>
          <w:smallCaps w:val="false"/>
          <w:sz w:val="20"/>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Organization and Qualification</w:t>
      </w:r>
      <w:r>
        <w:rPr>
          <w:rFonts w:ascii="Times New Roman" w:hAnsi="Times New Roman"/>
          <w:caps w:val="false"/>
          <w:smallCaps w:val="false"/>
          <w:sz w:val="20"/>
        </w:rPr>
        <w:t xml:space="preserve">. The Company and, except as described in </w:t>
      </w:r>
      <w:r>
        <w:rPr>
          <w:rFonts w:ascii="Times New Roman" w:hAnsi="Times New Roman"/>
          <w:caps w:val="false"/>
          <w:smallCaps w:val="false"/>
          <w:sz w:val="20"/>
          <w:u w:val="single"/>
        </w:rPr>
        <w:t>Schedule 3.1(b)</w:t>
      </w:r>
      <w:r>
        <w:rPr>
          <w:rFonts w:ascii="Times New Roman" w:hAnsi="Times New Roman"/>
          <w:caps w:val="false"/>
          <w:smallCaps w:val="false"/>
          <w:sz w:val="20"/>
        </w:rPr>
        <w:t>, each of the Subsidiaries is an entity duly incorporated or otherwise organized, validly existing and in good standing under the laws of the jurisdiction of its incorporation or organization (if a good standing concept exists in such jurisdiction), with the requisite power and authority to own and use its properties and assets and to carry on its business as currently conducted. Neither the Company nor any Subsidiary is in material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(if a good standing concept exists in such jurisdiction) 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“Material Adverse Effect”) provided that a change in the market price or trading volume of the Common Stock alone shall not be deemed, in and of itself, to constitute a Material Adverse Effect. No Proceeding has been instituted in any such jurisdiction revoking, limiting or curtailing or seeking to revoke, limit or curtail such power and authority or qualification.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Authorization; Enforcement</w:t>
      </w:r>
      <w:r>
        <w:rPr>
          <w:rFonts w:ascii="Times New Roman" w:hAnsi="Times New Roman"/>
          <w:caps w:val="false"/>
          <w:smallCaps w:val="false"/>
          <w:sz w:val="20"/>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No Conflicts</w:t>
      </w:r>
      <w:r>
        <w:rPr>
          <w:rFonts w:ascii="Times New Roman" w:hAnsi="Times New Roman"/>
          <w:caps w:val="false"/>
          <w:smallCaps w:val="false"/>
          <w:sz w:val="20"/>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other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Filings, Consents and Approvals</w:t>
      </w:r>
      <w:r>
        <w:rPr>
          <w:rFonts w:ascii="Times New Roman" w:hAnsi="Times New Roman"/>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and of this Agreement, (ii) the filing with the Commission of the Prospectus Supplement, (iii) application(s) to each applicable Trading Market for the listing of the Shares for trading thereon in the time and manner required thereby, and (iv) such filings as are required to be made under applicable state securities laws (collectively, the “Required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Issuance of the Shares; Registration</w:t>
      </w:r>
      <w:r>
        <w:rPr>
          <w:rFonts w:ascii="Times New Roman" w:hAnsi="Times New Roman"/>
          <w:caps w:val="false"/>
          <w:smallCaps w:val="false"/>
          <w:sz w:val="20"/>
        </w:rPr>
        <w:t>. The Shares are duly authorized for issuance and sale pursuant to the Transaction Documents and, when issued and delivered by the Company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in all material respects with the requirements of the Securities Act, which became effective on April 25,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Capitalization</w:t>
      </w:r>
      <w:r>
        <w:rPr>
          <w:rFonts w:ascii="Times New Roman" w:hAnsi="Times New Roman"/>
          <w:caps w:val="false"/>
          <w:smallCaps w:val="false"/>
          <w:sz w:val="20"/>
        </w:rPr>
        <w:t xml:space="preserve">. The capitalization of the Company as of the date hereof is as set forth on </w:t>
      </w:r>
      <w:r>
        <w:rPr>
          <w:rFonts w:ascii="Times New Roman" w:hAnsi="Times New Roman"/>
          <w:caps w:val="false"/>
          <w:smallCaps w:val="false"/>
          <w:sz w:val="20"/>
          <w:u w:val="single"/>
        </w:rPr>
        <w:t>Schedule 3.1(g)</w:t>
      </w:r>
      <w:r>
        <w:rPr>
          <w:rFonts w:ascii="Times New Roman" w:hAnsi="Times New Roman"/>
          <w:caps w:val="false"/>
          <w:smallCaps w:val="false"/>
          <w:sz w:val="20"/>
        </w:rPr>
        <w:t xml:space="preserve">, which </w:t>
      </w:r>
      <w:r>
        <w:rPr>
          <w:rFonts w:ascii="Times New Roman" w:hAnsi="Times New Roman"/>
          <w:caps w:val="false"/>
          <w:smallCaps w:val="false"/>
          <w:sz w:val="20"/>
          <w:u w:val="single"/>
        </w:rPr>
        <w:t>Schedule 3.1(g)</w:t>
      </w:r>
      <w:r>
        <w:rPr>
          <w:rFonts w:ascii="Times New Roman" w:hAnsi="Times New Roman"/>
          <w:caps w:val="false"/>
          <w:smallCaps w:val="false"/>
          <w:sz w:val="20"/>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equity incentive plans, pursuant to the conversion and/or exercise of Common Stock Equivalents outstanding as of the date of the most recently filed periodic report under the Exchange Act and/or pursuant to the Company’s at-the-market sales program. No Person has any right of first refusal, preemptive right, right of participation, or any similar right to participate in the transactions contemplated by the Transaction Documents. Except as set forth on </w:t>
      </w:r>
      <w:r>
        <w:rPr>
          <w:rFonts w:ascii="Times New Roman" w:hAnsi="Times New Roman"/>
          <w:caps w:val="false"/>
          <w:smallCaps w:val="false"/>
          <w:sz w:val="20"/>
          <w:u w:val="single"/>
        </w:rPr>
        <w:t>Schedule 3.1(g)</w:t>
      </w:r>
      <w:r>
        <w:rPr>
          <w:rFonts w:ascii="Times New Roman" w:hAnsi="Times New Roman"/>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as a result of the purchase and sale of the Shares. The issuance and sale of the Shares will not obligate the Company or any Subsidiary to issue shares of Common Stock or other securities to any Person (other than the Purchasers).There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(except as set forth in </w:t>
      </w:r>
      <w:r>
        <w:rPr>
          <w:rFonts w:ascii="Times New Roman" w:hAnsi="Times New Roman"/>
          <w:caps w:val="false"/>
          <w:smallCaps w:val="false"/>
          <w:sz w:val="20"/>
          <w:u w:val="single"/>
        </w:rPr>
        <w:t>Schedule 3.1(g)</w:t>
      </w:r>
      <w:r>
        <w:rPr>
          <w:rFonts w:ascii="Times New Roman" w:hAnsi="Times New Roman"/>
          <w:caps w:val="false"/>
          <w:smallCaps w:val="false"/>
          <w:sz w:val="20"/>
        </w:rPr>
        <w:t>)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(other than the Required Approvals)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 </w:t>
      </w:r>
      <w:r>
        <w:rPr>
          <w:rFonts w:ascii="Times New Roman" w:hAnsi="Times New Roman"/>
          <w:caps w:val="false"/>
          <w:smallCaps w:val="false"/>
          <w:sz w:val="20"/>
          <w:u w:val="single"/>
        </w:rPr>
        <w:t>SEC Reports; Financial Statements</w:t>
      </w:r>
      <w:r>
        <w:rPr>
          <w:rFonts w:ascii="Times New Roman" w:hAnsi="Times New Roman"/>
          <w:caps w:val="false"/>
          <w:smallCaps w:val="false"/>
          <w:sz w:val="20"/>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“SEC Reports”)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all material respects in accordance with United States generally accepted accounting principles applied on a consistent basis during the periods involved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 </w:t>
      </w:r>
      <w:r>
        <w:rPr>
          <w:rFonts w:ascii="Times New Roman" w:hAnsi="Times New Roman"/>
          <w:caps w:val="false"/>
          <w:smallCaps w:val="false"/>
          <w:sz w:val="20"/>
          <w:u w:val="single"/>
        </w:rPr>
        <w:t>Material Changes; Undisclosed Events, Liabilities or Developments</w:t>
      </w:r>
      <w:r>
        <w:rPr>
          <w:rFonts w:ascii="Times New Roman" w:hAnsi="Times New Roman"/>
          <w:caps w:val="false"/>
          <w:smallCaps w:val="false"/>
          <w:sz w:val="20"/>
        </w:rPr>
        <w:t>. Since the date of the latest audited financial statements included within the SEC Reports, except as set forth or otherwise disclosed in the SEC Reports filed prior to the date of this Agreement,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Shares,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 </w:t>
      </w:r>
      <w:r>
        <w:rPr>
          <w:rFonts w:ascii="Times New Roman" w:hAnsi="Times New Roman"/>
          <w:caps w:val="false"/>
          <w:smallCaps w:val="false"/>
          <w:sz w:val="20"/>
          <w:u w:val="single"/>
        </w:rPr>
        <w:t>Litigation</w:t>
      </w:r>
      <w:r>
        <w:rPr>
          <w:rFonts w:ascii="Times New Roman" w:hAnsi="Times New Roman"/>
          <w:caps w:val="false"/>
          <w:smallCaps w:val="false"/>
          <w:sz w:val="20"/>
        </w:rPr>
        <w:t xml:space="preserve">. Except as set forth in </w:t>
      </w:r>
      <w:r>
        <w:rPr>
          <w:rFonts w:ascii="Times New Roman" w:hAnsi="Times New Roman"/>
          <w:caps w:val="false"/>
          <w:smallCaps w:val="false"/>
          <w:sz w:val="20"/>
          <w:u w:val="single"/>
        </w:rPr>
        <w:t>Schedule 3.1(j)</w:t>
      </w:r>
      <w:r>
        <w:rPr>
          <w:rFonts w:ascii="Times New Roman" w:hAnsi="Times New Roman"/>
          <w:caps w:val="false"/>
          <w:smallCaps w:val="false"/>
          <w:sz w:val="20"/>
        </w:rPr>
        <w:t xml:space="preserve"> or as disclosed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“Action”). None of the Actions, (i) adversely affects or challenges the legality, validity or enforceability of any of the Transaction Documents or the Shares or (ii) except as set forth in Schedule 3.1(j) or as disclosed in the SEC Reports, could, if there were an unfavorable decision, have or reasonably be expected to result in a Material Adverse Effect. Except as set forth in </w:t>
      </w:r>
      <w:r>
        <w:rPr>
          <w:rFonts w:ascii="Times New Roman" w:hAnsi="Times New Roman"/>
          <w:caps w:val="false"/>
          <w:smallCaps w:val="false"/>
          <w:sz w:val="20"/>
          <w:u w:val="single"/>
        </w:rPr>
        <w:t>Schedule 3.1(j)</w:t>
      </w:r>
      <w:r>
        <w:rPr>
          <w:rFonts w:ascii="Times New Roman" w:hAnsi="Times New Roman"/>
          <w:caps w:val="false"/>
          <w:smallCaps w:val="false"/>
          <w:sz w:val="20"/>
        </w:rPr>
        <w:t xml:space="preserve"> or as disclosed in the SEC Reports,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 </w:t>
      </w:r>
      <w:r>
        <w:rPr>
          <w:rFonts w:ascii="Times New Roman" w:hAnsi="Times New Roman"/>
          <w:caps w:val="false"/>
          <w:smallCaps w:val="false"/>
          <w:sz w:val="20"/>
          <w:u w:val="single"/>
        </w:rPr>
        <w:t>Labor Relations</w:t>
      </w:r>
      <w:r>
        <w:rPr>
          <w:rFonts w:ascii="Times New Roman" w:hAnsi="Times New Roman"/>
          <w:caps w:val="false"/>
          <w:smallCaps w:val="false"/>
          <w:sz w:val="20"/>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 </w:t>
      </w:r>
      <w:r>
        <w:rPr>
          <w:rFonts w:ascii="Times New Roman" w:hAnsi="Times New Roman"/>
          <w:caps w:val="false"/>
          <w:smallCaps w:val="false"/>
          <w:sz w:val="20"/>
          <w:u w:val="single"/>
        </w:rPr>
        <w:t>Compliance</w:t>
      </w:r>
      <w:r>
        <w:rPr>
          <w:rFonts w:ascii="Times New Roman" w:hAnsi="Times New Roman"/>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which defaults, individually or in the aggregate, would reasonably be expected to have a Material Adverse Effect,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 </w:t>
      </w:r>
      <w:r>
        <w:rPr>
          <w:rFonts w:ascii="Times New Roman" w:hAnsi="Times New Roman"/>
          <w:caps w:val="false"/>
          <w:smallCaps w:val="false"/>
          <w:sz w:val="20"/>
          <w:u w:val="single"/>
        </w:rPr>
        <w:t>Environmental Laws</w:t>
      </w:r>
      <w:r>
        <w:rPr>
          <w:rFonts w:ascii="Times New Roman" w:hAnsi="Times New Roman"/>
          <w:caps w:val="false"/>
          <w:smallCaps w:val="false"/>
          <w:sz w:val="20"/>
        </w:rPr>
        <w:t>. The Company and its Subsidiaries: (i) are in compliance with all applicable federal, state, local and foreign laws relating the protection of human health and safety, the environment or hazardous or toxic substances or wastes, pollutants or contaminants (“Environmental Laws”);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or maintain such permit, license or approval could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 </w:t>
      </w:r>
      <w:r>
        <w:rPr>
          <w:rFonts w:ascii="Times New Roman" w:hAnsi="Times New Roman"/>
          <w:caps w:val="false"/>
          <w:smallCaps w:val="false"/>
          <w:sz w:val="20"/>
          <w:u w:val="single"/>
        </w:rPr>
        <w:t>Regulatory Permits</w:t>
      </w:r>
      <w:r>
        <w:rPr>
          <w:rFonts w:ascii="Times New Roman" w:hAnsi="Times New Roman"/>
          <w:caps w:val="false"/>
          <w:smallCaps w:val="false"/>
          <w:sz w:val="20"/>
        </w:rPr>
        <w:t>. The Company and the Subsidiaries possess all certificates, authorizations, approvals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(“Material Permits”), and neither the Company nor any Subsidiary has received any notice of proceedings relating to the revocation or modification of any Material Permit.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 </w:t>
      </w:r>
      <w:r>
        <w:rPr>
          <w:rFonts w:ascii="Times New Roman" w:hAnsi="Times New Roman"/>
          <w:caps w:val="false"/>
          <w:smallCaps w:val="false"/>
          <w:sz w:val="20"/>
          <w:u w:val="single"/>
        </w:rPr>
        <w:t>Title to Assets</w:t>
      </w:r>
      <w:r>
        <w:rPr>
          <w:rFonts w:ascii="Times New Roman" w:hAnsi="Times New Roman"/>
          <w:caps w:val="false"/>
          <w:smallCaps w:val="false"/>
          <w:sz w:val="20"/>
        </w:rPr>
        <w:t>. Except as disclosed in the SEC Reports, the Company and the Subsidiaries have good and marketable title in fee simple to all real property owned by them and good and marketable title in all personal property described in the SEC Reports as being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foreign,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except for instances of noncompliance which could not reasonably be expected to result in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(p) </w:t>
      </w:r>
      <w:r>
        <w:rPr>
          <w:rFonts w:ascii="Times New Roman" w:hAnsi="Times New Roman"/>
          <w:caps w:val="false"/>
          <w:smallCaps w:val="false"/>
          <w:sz w:val="20"/>
          <w:u w:val="single"/>
        </w:rPr>
        <w:t>Intellectual Property</w:t>
      </w:r>
      <w:r>
        <w:rPr>
          <w:rFonts w:ascii="Times New Roman" w:hAnsi="Times New Roman"/>
          <w:caps w:val="false"/>
          <w:smallCaps w:val="false"/>
          <w:sz w:val="20"/>
        </w:rPr>
        <w:t>. Except as disclosed in the SEC Reports, the Company and the Subsidiaries have, or have rights to use, all patents, patent applications, trademarks,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“Intellectual Property Rights”).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(q) </w:t>
      </w:r>
      <w:r>
        <w:rPr>
          <w:rFonts w:ascii="Times New Roman" w:hAnsi="Times New Roman"/>
          <w:caps w:val="false"/>
          <w:smallCaps w:val="false"/>
          <w:sz w:val="20"/>
          <w:u w:val="single"/>
        </w:rPr>
        <w:t>Insurance</w:t>
      </w:r>
      <w:r>
        <w:rPr>
          <w:rFonts w:ascii="Times New Roman" w:hAnsi="Times New Roman"/>
          <w:caps w:val="false"/>
          <w:smallCaps w:val="false"/>
          <w:sz w:val="20"/>
        </w:rPr>
        <w:t>. The Company and the Subsidiaries are insured by insurers of recognized financial responsibility against such losses and risks as the Company and the Subsidiaries reasonably believe are prudent and customary in the businesses in which they are engaged.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(r) </w:t>
      </w:r>
      <w:r>
        <w:rPr>
          <w:rFonts w:ascii="Times New Roman" w:hAnsi="Times New Roman"/>
          <w:caps w:val="false"/>
          <w:smallCaps w:val="false"/>
          <w:sz w:val="20"/>
          <w:u w:val="single"/>
        </w:rPr>
        <w:t>Transactions With Affiliates and Employees</w:t>
      </w:r>
      <w:r>
        <w:rPr>
          <w:rFonts w:ascii="Times New Roman" w:hAnsi="Times New Roman"/>
          <w:caps w:val="false"/>
          <w:smallCaps w:val="false"/>
          <w:sz w:val="20"/>
        </w:rPr>
        <w:t xml:space="preserve">. Except as set forth in the SEC Reports or on </w:t>
      </w:r>
      <w:r>
        <w:rPr>
          <w:rFonts w:ascii="Times New Roman" w:hAnsi="Times New Roman"/>
          <w:caps w:val="false"/>
          <w:smallCaps w:val="false"/>
          <w:sz w:val="20"/>
          <w:u w:val="single"/>
        </w:rPr>
        <w:t>Schedule 3.1(r)</w:t>
      </w:r>
      <w:r>
        <w:rPr>
          <w:rFonts w:ascii="Times New Roman" w:hAnsi="Times New Roman"/>
          <w:caps w:val="false"/>
          <w:smallCaps w:val="false"/>
          <w:sz w:val="20"/>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(s) </w:t>
      </w:r>
      <w:r>
        <w:rPr>
          <w:rFonts w:ascii="Times New Roman" w:hAnsi="Times New Roman"/>
          <w:caps w:val="false"/>
          <w:smallCaps w:val="false"/>
          <w:sz w:val="20"/>
          <w:u w:val="single"/>
        </w:rPr>
        <w:t>Sarbanes-Oxley; Internal Accounting Controls</w:t>
      </w:r>
      <w:r>
        <w:rPr>
          <w:rFonts w:ascii="Times New Roman" w:hAnsi="Times New Roman"/>
          <w:caps w:val="false"/>
          <w:smallCaps w:val="false"/>
          <w:sz w:val="20"/>
        </w:rPr>
        <w:t>. The Company and the Subsidiaries are in compliance with any and all applicable requirements of the Sarbanes-Oxley Act of 2002, as amended, and any and all applicable rules and regulations promulgated by the Commission thereunder that are in effect and with which the Company is required to comply. The Company and the Subsidiaries, considered together as one entity, maintain a system of internal accounting controls (as contemplated under Rule 13a-15(f) of the Exchange Act)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“Evaluation Date”).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 </w:t>
      </w:r>
      <w:r>
        <w:rPr>
          <w:rFonts w:ascii="Times New Roman" w:hAnsi="Times New Roman"/>
          <w:caps w:val="false"/>
          <w:smallCaps w:val="false"/>
          <w:sz w:val="20"/>
          <w:u w:val="single"/>
        </w:rPr>
        <w:t>Certain Fees</w:t>
      </w:r>
      <w:r>
        <w:rPr>
          <w:rFonts w:ascii="Times New Roman" w:hAnsi="Times New Roman"/>
          <w:caps w:val="false"/>
          <w:smallCaps w:val="false"/>
          <w:sz w:val="20"/>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(u) </w:t>
      </w:r>
      <w:r>
        <w:rPr>
          <w:rFonts w:ascii="Times New Roman" w:hAnsi="Times New Roman"/>
          <w:caps w:val="false"/>
          <w:smallCaps w:val="false"/>
          <w:sz w:val="20"/>
          <w:u w:val="single"/>
        </w:rPr>
        <w:t>Investment Company</w:t>
      </w:r>
      <w:r>
        <w:rPr>
          <w:rFonts w:ascii="Times New Roman" w:hAnsi="Times New Roman"/>
          <w:caps w:val="false"/>
          <w:smallCaps w:val="false"/>
          <w:sz w:val="20"/>
        </w:rPr>
        <w:t>. The Company is not, and is not an Affiliate of, and immediately after giving effect to the offering and sale of the Shares and the application of proceeds thereof,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(v) </w:t>
      </w:r>
      <w:r>
        <w:rPr>
          <w:rFonts w:ascii="Times New Roman" w:hAnsi="Times New Roman"/>
          <w:caps w:val="false"/>
          <w:smallCaps w:val="false"/>
          <w:sz w:val="20"/>
          <w:u w:val="single"/>
        </w:rPr>
        <w:t>Registration Rights</w:t>
      </w:r>
      <w:r>
        <w:rPr>
          <w:rFonts w:ascii="Times New Roman" w:hAnsi="Times New Roman"/>
          <w:caps w:val="false"/>
          <w:smallCaps w:val="false"/>
          <w:sz w:val="20"/>
        </w:rPr>
        <w:t>. Except as set forth in the SEC Reports, no Person has any right to cause the Company or any Subsidiary to effect the registration under the Securities Act of any securities of the Company or any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 </w:t>
      </w:r>
      <w:r>
        <w:rPr>
          <w:rFonts w:ascii="Times New Roman" w:hAnsi="Times New Roman"/>
          <w:caps w:val="false"/>
          <w:smallCaps w:val="false"/>
          <w:sz w:val="20"/>
          <w:u w:val="single"/>
        </w:rPr>
        <w:t>Listing and Maintenance Requirements</w:t>
      </w:r>
      <w:r>
        <w:rPr>
          <w:rFonts w:ascii="Times New Roman" w:hAnsi="Times New Roman"/>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(x) </w:t>
      </w:r>
      <w:r>
        <w:rPr>
          <w:rFonts w:ascii="Times New Roman" w:hAnsi="Times New Roman"/>
          <w:caps w:val="false"/>
          <w:smallCaps w:val="false"/>
          <w:sz w:val="20"/>
          <w:u w:val="single"/>
        </w:rPr>
        <w:t>Application of Takeover Protections</w:t>
      </w:r>
      <w:r>
        <w:rPr>
          <w:rFonts w:ascii="Times New Roman" w:hAnsi="Times New Roman"/>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 </w:t>
      </w:r>
      <w:r>
        <w:rPr>
          <w:rFonts w:ascii="Times New Roman" w:hAnsi="Times New Roman"/>
          <w:caps w:val="false"/>
          <w:smallCaps w:val="false"/>
          <w:sz w:val="20"/>
          <w:u w:val="single"/>
        </w:rPr>
        <w:t>Disclosure</w:t>
      </w:r>
      <w:r>
        <w:rPr>
          <w:rFonts w:ascii="Times New Roman" w:hAnsi="Times New Roman"/>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(z) </w:t>
      </w:r>
      <w:r>
        <w:rPr>
          <w:rFonts w:ascii="Times New Roman" w:hAnsi="Times New Roman"/>
          <w:caps w:val="false"/>
          <w:smallCaps w:val="false"/>
          <w:sz w:val="20"/>
          <w:u w:val="single"/>
        </w:rPr>
        <w:t>No Integrated Offering</w:t>
      </w:r>
      <w:r>
        <w:rPr>
          <w:rFonts w:ascii="Times New Roman" w:hAnsi="Times New Roman"/>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(i) any applicable shareholder approval provisions of any Trading Market on which any of the securities of the Company are listed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(aa)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(bb) </w:t>
      </w:r>
      <w:r>
        <w:rPr>
          <w:rFonts w:ascii="Times New Roman" w:hAnsi="Times New Roman"/>
          <w:caps w:val="false"/>
          <w:smallCaps w:val="false"/>
          <w:sz w:val="20"/>
          <w:u w:val="single"/>
        </w:rPr>
        <w:t>Tax Status</w:t>
      </w:r>
      <w:r>
        <w:rPr>
          <w:rFonts w:ascii="Times New Roman" w:hAnsi="Times New Roman"/>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(cc) </w:t>
      </w:r>
      <w:r>
        <w:rPr>
          <w:rFonts w:ascii="Times New Roman" w:hAnsi="Times New Roman"/>
          <w:caps w:val="false"/>
          <w:smallCaps w:val="false"/>
          <w:sz w:val="20"/>
          <w:u w:val="single"/>
        </w:rPr>
        <w:t>Foreign Corrupt Practices</w:t>
      </w:r>
      <w:r>
        <w:rPr>
          <w:rFonts w:ascii="Times New Roman" w:hAnsi="Times New Roman"/>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(dd) </w:t>
      </w:r>
      <w:r>
        <w:rPr>
          <w:rFonts w:ascii="Times New Roman" w:hAnsi="Times New Roman"/>
          <w:caps w:val="false"/>
          <w:smallCaps w:val="false"/>
          <w:sz w:val="20"/>
          <w:u w:val="single"/>
        </w:rPr>
        <w:t>Accountants</w:t>
      </w:r>
      <w:r>
        <w:rPr>
          <w:rFonts w:ascii="Times New Roman" w:hAnsi="Times New Roman"/>
          <w:caps w:val="false"/>
          <w:smallCaps w:val="false"/>
          <w:sz w:val="20"/>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(ee) </w:t>
      </w:r>
      <w:r>
        <w:rPr>
          <w:rFonts w:ascii="Times New Roman" w:hAnsi="Times New Roman"/>
          <w:caps w:val="false"/>
          <w:smallCaps w:val="false"/>
          <w:sz w:val="20"/>
          <w:u w:val="single"/>
        </w:rPr>
        <w:t>Acknowledgment Regarding Purchasers’ Purchase of Shares</w:t>
      </w:r>
      <w:r>
        <w:rPr>
          <w:rFonts w:ascii="Times New Roman" w:hAnsi="Times New Roman"/>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(ff) </w:t>
      </w:r>
      <w:r>
        <w:rPr>
          <w:rFonts w:ascii="Times New Roman" w:hAnsi="Times New Roman"/>
          <w:caps w:val="false"/>
          <w:smallCaps w:val="false"/>
          <w:sz w:val="20"/>
          <w:u w:val="single"/>
        </w:rPr>
        <w:t>Acknowledgment Regarding Purchaser’s Trading Activity</w:t>
      </w:r>
      <w:r>
        <w:rPr>
          <w:rFonts w:ascii="Times New Roman" w:hAnsi="Times New Roman"/>
          <w:caps w:val="false"/>
          <w:smallCaps w:val="false"/>
          <w:sz w:val="20"/>
        </w:rPr>
        <w:t>. Anything in this Agreement or elsewhere herein to the contrary notwithstanding (except for Section 3.2(f)), it is understood and acknowledged by the Company that: (i) none of the Purchasers has been asked by the Company to agree, nor has any Purchaser agreed with the Company,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(gg) </w:t>
      </w:r>
      <w:r>
        <w:rPr>
          <w:rFonts w:ascii="Times New Roman" w:hAnsi="Times New Roman"/>
          <w:caps w:val="false"/>
          <w:smallCaps w:val="false"/>
          <w:sz w:val="20"/>
          <w:u w:val="single"/>
        </w:rPr>
        <w:t>Regulation M Compliance</w:t>
      </w:r>
      <w:r>
        <w:rPr>
          <w:rFonts w:ascii="Times New Roman" w:hAnsi="Times New Roman"/>
          <w:caps w:val="false"/>
          <w:smallCaps w:val="false"/>
          <w:sz w:val="20"/>
        </w:rPr>
        <w:t>. The Company has not, and to its knowledge no one acting on its behalf has, (i) taken, directly or indirectly, any action designed to cause or that might reasonably be expected to cause or result in the stabilization or manipulation of the price of any security of the Company to facilitate the sale or resale of the Shares, (ii) sold, bid for, purchased, or, paid any compensation for soliciting purchases of the Shares, or (iii) paid or agreed to pay to any Person any compensation for soliciting another to purchase any other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(hh) </w:t>
      </w:r>
      <w:r>
        <w:rPr>
          <w:rFonts w:ascii="Times New Roman" w:hAnsi="Times New Roman"/>
          <w:caps w:val="false"/>
          <w:smallCaps w:val="false"/>
          <w:sz w:val="20"/>
          <w:u w:val="single"/>
        </w:rPr>
        <w:t>FDA</w:t>
      </w:r>
      <w:r>
        <w:rPr>
          <w:rFonts w:ascii="Times New Roman" w:hAnsi="Times New Roman"/>
          <w:caps w:val="false"/>
          <w:smallCaps w:val="false"/>
          <w:sz w:val="20"/>
        </w:rPr>
        <w:t>. The Company and its subsidiaries and their respective directors, officers and employees, and to the Company’s knowledge, their respective agents, are, and at all times have been, in material compliance with all Health Care Laws (defined herein), including, but not limited to, the rules and regulations of the Food and Drug Administration (“FDA”), the U.S. Department of Health and Human Services (“HHS”) Office of Inspector General, the Centers for Medicare &amp; Medicaid Services, the HHS Office for Civil Rights, the U.S. Department of Justice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For purposes of this Agreement, “Health Care Laws” shall mean the federal Anti-kickback Statute (42 U.S.C. § 1320a-7b(b)), the Physician Payments Sunshine Act (42 U.S.C. § 1320a-7h), the civil False Claims Act (31 U.S.C. §§ 3729 et seq.), the criminal False Claims Act (42 U.S.C. § 1320a-7b(a)), all criminal laws relating to health care fraud and abuse, including but not limited to 18 U.S.C. Sections 286, 287, and 1349, and the health care fraud criminal provisions under the Health Insurance Portability and Accountability Act of 1996 (42 U.S.C. §§ 1320d et seq.) (“HIPAA”), the exclusion law (42 U.S.C. § 1320a-7), the civil monetary penalties law (42 U.S.C. § 1320a-7a), HIPAA, as amended by the Health Information Technology for Economic and Clinical Health Act (42 U.S.C. §§ 17921 et seq.), the Federal Food, Drug, and Cosmetic Act (21 U.S.C. §§ 301 et seq.), the statutes, regulations and directives of applicable federal healthcare programs, including but not limited to Medicare (Title XVIII of the Social Security Act) and Medicaid (Title XIX of the Social Security Act), any rules and regulations promulgated pursuant to the statutes listed herein, and any other applicable federal, state, or foreign health care laws. The Company is not a party to or has any ongoing reporting obligations pursuant to any corporate integrity agreement, deferred prosecution agreement, monitoring agreement, consent decree, settlement order, plan of correction or similar agreement imposed by any governmental authority. The Company has not received any notification, correspondence or any other written or oral communication, including, without limitation, any FDA Form 483, notice of adverse finding, warning letter, untitled letter or other correspondence or notice from the FDA or any similar regulatory authority, or any notification of any pending or threatened claim, suit, proceeding, hearing, enforcement, investigation, arbitration or other action, from any court, arbitrator, governmental or regulatory authority or third party, of potential or actual non-compliance by, or liability of, the Company under any Health Care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(ii) </w:t>
      </w:r>
      <w:r>
        <w:rPr>
          <w:rFonts w:ascii="Times New Roman" w:hAnsi="Times New Roman"/>
          <w:caps w:val="false"/>
          <w:smallCaps w:val="false"/>
          <w:sz w:val="20"/>
          <w:u w:val="single"/>
        </w:rPr>
        <w:t>Data Privacy and Cybersecurity</w:t>
      </w:r>
      <w:r>
        <w:rPr>
          <w:rFonts w:ascii="Times New Roman" w:hAnsi="Times New Roman"/>
          <w:caps w:val="false"/>
          <w:smallCaps w:val="false"/>
          <w:sz w:val="20"/>
        </w:rPr>
        <w:t>. The IT Systems are adequate for and operate and perform in all material respects as required in connection with the operation of the business of the Company and its Subsidiaries as currently conducted and anticipated to be conducted, free and clear of all material bugs, errors, defects, Trojan horses, time bombs, malware and other contaminants that would reasonably be expected to have a Material Adverse Effect. The Company has been, and is presently in compliance with Applicable Data Privacy and Security Requirements except in each case where such would not, either individually or in the aggregate, reasonably be expected to result in a Material Adverse Event. The Company further certifies that neither it or any of its Subsidiaries: (i) have received notice of any actual or potential liability under or relating to, or actual or potential violation of, any of the Applicable Data Privacy and Security Requirements, or have no knowledge of any event or condition that would reasonably be expected to result in any such notice; (ii) are currently conducting or paying for, in whole or in part, any investigation, remediation, or other corrective action pursuant to any Applicable Data Privacy and Security Requirement; or (iii) are a party to any order, decree, or agreement that imposes any obligation or liability under any Appliable Data Privacy and Security Requirements. The Company and its Subsidiaries have implemented and maintain commercially reasonable physical, technical and administrative controls, policies, procedures, and safeguards in accordance with Applicable Data Privacy and Security Requirements to maintain and protect their material confidential information and the integrity, continuous operation, redundancy, privacy and security of all IT Systems and Company Data used, disclosed or otherwise processed in connection with their businesses including, but not limited to, backup and disaster recovery technology consistent with industry standards and practices. The Company and its Subsidiaries have not had any Security Incidents, nor are any Security Incidents under review or investigation, except for Security Incidents that: (i) have been remedied without material cost or liability or the duty to notify any person or Governmental Authority; and (ii) would not, either individually or in the aggregate, reasonably be expected to result in a Material Adverse Effect. The Company and its Subsidiaries have no knowledge of any event, condition, or threat that would reasonably be expected to result in a Security Incident.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(jj) </w:t>
      </w:r>
      <w:r>
        <w:rPr>
          <w:rFonts w:ascii="Times New Roman" w:hAnsi="Times New Roman"/>
          <w:caps w:val="false"/>
          <w:smallCaps w:val="false"/>
          <w:sz w:val="20"/>
          <w:u w:val="single"/>
        </w:rPr>
        <w:t>Stock Option Plans</w:t>
      </w:r>
      <w:r>
        <w:rPr>
          <w:rFonts w:ascii="Times New Roman" w:hAnsi="Times New Roman"/>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(kk) </w:t>
      </w:r>
      <w:r>
        <w:rPr>
          <w:rFonts w:ascii="Times New Roman" w:hAnsi="Times New Roman"/>
          <w:caps w:val="false"/>
          <w:smallCaps w:val="false"/>
          <w:sz w:val="20"/>
          <w:u w:val="single"/>
        </w:rPr>
        <w:t>Office of Foreign Assets Control</w:t>
      </w:r>
      <w:r>
        <w:rPr>
          <w:rFonts w:ascii="Times New Roman" w:hAnsi="Times New Roman"/>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(“OFAC”).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(ll) </w:t>
      </w:r>
      <w:r>
        <w:rPr>
          <w:rFonts w:ascii="Times New Roman" w:hAnsi="Times New Roman"/>
          <w:caps w:val="false"/>
          <w:smallCaps w:val="false"/>
          <w:sz w:val="20"/>
          <w:u w:val="single"/>
        </w:rPr>
        <w:t>U.S. Real Property Holding Corporation</w:t>
      </w:r>
      <w:r>
        <w:rPr>
          <w:rFonts w:ascii="Times New Roman" w:hAnsi="Times New Roman"/>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(mm) </w:t>
      </w:r>
      <w:r>
        <w:rPr>
          <w:rFonts w:ascii="Times New Roman" w:hAnsi="Times New Roman"/>
          <w:caps w:val="false"/>
          <w:smallCaps w:val="false"/>
          <w:sz w:val="20"/>
          <w:u w:val="single"/>
        </w:rPr>
        <w:t>Bank Holding Company Act</w:t>
      </w:r>
      <w:r>
        <w:rPr>
          <w:rFonts w:ascii="Times New Roman" w:hAnsi="Times New Roman"/>
          <w:caps w:val="false"/>
          <w:smallCaps w:val="false"/>
          <w:sz w:val="20"/>
        </w:rPr>
        <w:t>. Neither the Company nor any of its Subsidiaries or Affiliates is subject to the Bank Holding Company Act of 1956, as amended (the “BHCA”) and to regulation by the Board of Governors of the Federal Reserve System (the “Federal Reserve”).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(nn) </w:t>
      </w:r>
      <w:r>
        <w:rPr>
          <w:rFonts w:ascii="Times New Roman" w:hAnsi="Times New Roman"/>
          <w:caps w:val="false"/>
          <w:smallCaps w:val="false"/>
          <w:sz w:val="20"/>
          <w:u w:val="single"/>
        </w:rPr>
        <w:t>Money Laundering</w:t>
      </w:r>
      <w:r>
        <w:rPr>
          <w:rFonts w:ascii="Times New Roman" w:hAnsi="Times New Roman"/>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“Money Laundering Laws”),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3.2 </w:t>
      </w:r>
      <w:r>
        <w:rPr>
          <w:rFonts w:ascii="Times New Roman" w:hAnsi="Times New Roman"/>
          <w:caps w:val="false"/>
          <w:smallCaps w:val="false"/>
          <w:sz w:val="20"/>
          <w:u w:val="single"/>
        </w:rPr>
        <w:t>Representations and Warranties of the Purchasers</w:t>
      </w:r>
      <w:r>
        <w:rPr>
          <w:rFonts w:ascii="Times New Roman" w:hAnsi="Times New Roman"/>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(a) </w:t>
      </w:r>
      <w:r>
        <w:rPr>
          <w:rFonts w:ascii="Times New Roman" w:hAnsi="Times New Roman"/>
          <w:caps w:val="false"/>
          <w:smallCaps w:val="false"/>
          <w:sz w:val="20"/>
          <w:u w:val="single"/>
        </w:rPr>
        <w:t>Organization; Authority</w:t>
      </w:r>
      <w:r>
        <w:rPr>
          <w:rFonts w:ascii="Times New Roman" w:hAnsi="Times New Roman"/>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(b) </w:t>
      </w:r>
      <w:r>
        <w:rPr>
          <w:rFonts w:ascii="Times New Roman" w:hAnsi="Times New Roman"/>
          <w:caps w:val="false"/>
          <w:smallCaps w:val="false"/>
          <w:sz w:val="20"/>
          <w:u w:val="single"/>
        </w:rPr>
        <w:t>Understandings or Arrangements</w:t>
      </w:r>
      <w:r>
        <w:rPr>
          <w:rFonts w:ascii="Times New Roman" w:hAnsi="Times New Roman"/>
          <w:caps w:val="false"/>
          <w:smallCaps w:val="false"/>
          <w:sz w:val="20"/>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(c) </w:t>
      </w:r>
      <w:r>
        <w:rPr>
          <w:rFonts w:ascii="Times New Roman" w:hAnsi="Times New Roman"/>
          <w:caps w:val="false"/>
          <w:smallCaps w:val="false"/>
          <w:sz w:val="20"/>
          <w:u w:val="single"/>
        </w:rPr>
        <w:t>Purchaser Status</w:t>
      </w:r>
      <w:r>
        <w:rPr>
          <w:rFonts w:ascii="Times New Roman" w:hAnsi="Times New Roman"/>
          <w:caps w:val="false"/>
          <w:smallCaps w:val="false"/>
          <w:sz w:val="20"/>
        </w:rPr>
        <w:t>. At the time such Purchaser was offered the Shares, it was, and as of the date hereof it is either: (i) an “accredited investor” as defined in Rule 501(a)(1), (a)(2), (a)(3), (a)(7), (a)(8), (a)(9), (a)(12), or (a)(13) under the Securities Act or (ii) a “qualified institutional buyer” as defined in Rule 144A(a)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(d) </w:t>
      </w:r>
      <w:r>
        <w:rPr>
          <w:rFonts w:ascii="Times New Roman" w:hAnsi="Times New Roman"/>
          <w:caps w:val="false"/>
          <w:smallCaps w:val="false"/>
          <w:sz w:val="20"/>
          <w:u w:val="single"/>
        </w:rPr>
        <w:t>Experience of Such Purchaser</w:t>
      </w:r>
      <w:r>
        <w:rPr>
          <w:rFonts w:ascii="Times New Roman" w:hAnsi="Times New Roman"/>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420" w:right="0" w:firstLine="102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(e) </w:t>
      </w:r>
      <w:r>
        <w:rPr>
          <w:rFonts w:ascii="Times New Roman" w:hAnsi="Times New Roman"/>
          <w:caps w:val="false"/>
          <w:smallCaps w:val="false"/>
          <w:sz w:val="20"/>
          <w:u w:val="single"/>
        </w:rPr>
        <w:t>Access to Information</w:t>
      </w:r>
      <w:r>
        <w:rPr>
          <w:rFonts w:ascii="Times New Roman" w:hAnsi="Times New Roman"/>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(f) </w:t>
      </w:r>
      <w:r>
        <w:rPr>
          <w:rFonts w:ascii="Times New Roman" w:hAnsi="Times New Roman"/>
          <w:caps w:val="false"/>
          <w:smallCaps w:val="false"/>
          <w:sz w:val="20"/>
          <w:u w:val="single"/>
        </w:rPr>
        <w:t>Certain Transactions and Confidentiality</w:t>
      </w:r>
      <w:r>
        <w:rPr>
          <w:rFonts w:ascii="Times New Roman" w:hAnsi="Times New Roman"/>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notification of the offering hereunder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20" w:right="0" w:firstLine="1020"/>
        <w:jc w:val="both"/>
        <w:rPr>
          <w:rFonts w:ascii="Times New Roman" w:hAnsi="Times New Roman"/>
          <w:caps w:val="false"/>
          <w:smallCaps w:val="false"/>
          <w:sz w:val="20"/>
        </w:rPr>
      </w:pPr>
      <w:r>
        <w:rPr>
          <w:rFonts w:ascii="Times New Roman" w:hAnsi="Times New Roman"/>
          <w:caps w:val="false"/>
          <w:smallCaps w:val="false"/>
          <w:sz w:val="20"/>
        </w:rPr>
        <w:t xml:space="preserve">(g) </w:t>
      </w:r>
      <w:r>
        <w:rPr>
          <w:rFonts w:ascii="Times New Roman" w:hAnsi="Times New Roman"/>
          <w:caps w:val="false"/>
          <w:smallCaps w:val="false"/>
          <w:sz w:val="20"/>
          <w:u w:val="single"/>
        </w:rPr>
        <w:t>General Solicitation</w:t>
      </w:r>
      <w:r>
        <w:rPr>
          <w:rFonts w:ascii="Times New Roman" w:hAnsi="Times New Roman"/>
          <w:caps w:val="false"/>
          <w:smallCaps w:val="false"/>
          <w:sz w:val="20"/>
        </w:rPr>
        <w:t>. Such Purchaser is not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IV</w:t>
      </w:r>
      <w:r>
        <w:rPr>
          <w:rFonts w:ascii="Times New Roman" w:hAnsi="Times New Roman"/>
          <w:caps w:val="false"/>
          <w:smallCaps w:val="false"/>
          <w:sz w:val="20"/>
        </w:rPr>
        <w:br/>
        <w:t>OTHER AGREEMENTS OF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4.1 </w:t>
      </w:r>
      <w:r>
        <w:rPr>
          <w:rFonts w:ascii="Times New Roman" w:hAnsi="Times New Roman"/>
          <w:caps w:val="false"/>
          <w:smallCaps w:val="false"/>
          <w:sz w:val="20"/>
          <w:u w:val="single"/>
        </w:rPr>
        <w:t>Reserved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4.2 </w:t>
      </w:r>
      <w:r>
        <w:rPr>
          <w:rFonts w:ascii="Times New Roman" w:hAnsi="Times New Roman"/>
          <w:caps w:val="false"/>
          <w:smallCaps w:val="false"/>
          <w:sz w:val="20"/>
          <w:u w:val="single"/>
        </w:rPr>
        <w:t>Furnishing of Information.</w:t>
      </w:r>
      <w:r>
        <w:rPr>
          <w:rFonts w:ascii="Times New Roman" w:hAnsi="Times New Roman"/>
          <w:caps w:val="false"/>
          <w:smallCaps w:val="false"/>
          <w:sz w:val="20"/>
        </w:rPr>
        <w:t xml:space="preserve"> Until the time that no Purchaser owns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4.3 </w:t>
      </w:r>
      <w:r>
        <w:rPr>
          <w:rFonts w:ascii="Times New Roman" w:hAnsi="Times New Roman"/>
          <w:caps w:val="false"/>
          <w:smallCaps w:val="false"/>
          <w:sz w:val="20"/>
          <w:u w:val="single"/>
        </w:rPr>
        <w:t>Integration</w:t>
      </w:r>
      <w:r>
        <w:rPr>
          <w:rFonts w:ascii="Times New Roman" w:hAnsi="Times New Roman"/>
          <w:caps w:val="false"/>
          <w:smallCaps w:val="false"/>
          <w:sz w:val="20"/>
        </w:rPr>
        <w:t>. The Company shall use reasonable efforts not to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4.4 </w:t>
      </w:r>
      <w:r>
        <w:rPr>
          <w:rFonts w:ascii="Times New Roman" w:hAnsi="Times New Roman"/>
          <w:caps w:val="false"/>
          <w:smallCaps w:val="false"/>
          <w:sz w:val="20"/>
          <w:u w:val="single"/>
        </w:rPr>
        <w:t>Securities Laws Disclosure; Publicity</w:t>
      </w:r>
      <w:r>
        <w:rPr>
          <w:rFonts w:ascii="Times New Roman" w:hAnsi="Times New Roman"/>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provided that the Company shall not be required to file such a Current Report on Form 8-K if the Transaction Documents have been previously filed with the Commission as exhibits to a pre-effective or post-effective amendment to the Registration Statement.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4.5 </w:t>
      </w:r>
      <w:r>
        <w:rPr>
          <w:rFonts w:ascii="Times New Roman" w:hAnsi="Times New Roman"/>
          <w:caps w:val="false"/>
          <w:smallCaps w:val="false"/>
          <w:sz w:val="20"/>
          <w:u w:val="single"/>
        </w:rPr>
        <w:t>Shareholder Rights Plan</w:t>
      </w:r>
      <w:r>
        <w:rPr>
          <w:rFonts w:ascii="Times New Roman" w:hAnsi="Times New Roman"/>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4.6 </w:t>
      </w:r>
      <w:r>
        <w:rPr>
          <w:rFonts w:ascii="Times New Roman" w:hAnsi="Times New Roman"/>
          <w:caps w:val="false"/>
          <w:smallCaps w:val="false"/>
          <w:sz w:val="20"/>
          <w:u w:val="single"/>
        </w:rPr>
        <w:t>Non-Public Information</w:t>
      </w:r>
      <w:r>
        <w:rPr>
          <w:rFonts w:ascii="Times New Roman" w:hAnsi="Times New Roman"/>
          <w:caps w:val="false"/>
          <w:smallCaps w:val="false"/>
          <w:sz w:val="20"/>
        </w:rPr>
        <w:t>. Except with respect to the material pricing terms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employees or agents,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4.7 </w:t>
      </w:r>
      <w:r>
        <w:rPr>
          <w:rFonts w:ascii="Times New Roman" w:hAnsi="Times New Roman"/>
          <w:caps w:val="false"/>
          <w:smallCaps w:val="false"/>
          <w:sz w:val="20"/>
          <w:u w:val="single"/>
        </w:rPr>
        <w:t>Use of Proceeds</w:t>
      </w:r>
      <w:r>
        <w:rPr>
          <w:rFonts w:ascii="Times New Roman" w:hAnsi="Times New Roman"/>
          <w:caps w:val="false"/>
          <w:smallCaps w:val="false"/>
          <w:sz w:val="20"/>
        </w:rPr>
        <w:t xml:space="preserve">. Except as set forth on </w:t>
      </w:r>
      <w:r>
        <w:rPr>
          <w:rFonts w:ascii="Times New Roman" w:hAnsi="Times New Roman"/>
          <w:caps w:val="false"/>
          <w:smallCaps w:val="false"/>
          <w:sz w:val="20"/>
          <w:u w:val="single"/>
        </w:rPr>
        <w:t>Schedule 4.7</w:t>
      </w:r>
      <w:r>
        <w:rPr>
          <w:rFonts w:ascii="Times New Roman" w:hAnsi="Times New Roman"/>
          <w:caps w:val="false"/>
          <w:smallCaps w:val="false"/>
          <w:sz w:val="20"/>
        </w:rPr>
        <w:t xml:space="preserve"> attached hereto, the Company shall use the net proceeds from the sale of the Shares hereunder for working capital purposes and shall not use any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4.8 </w:t>
      </w:r>
      <w:r>
        <w:rPr>
          <w:rFonts w:ascii="Times New Roman" w:hAnsi="Times New Roman"/>
          <w:caps w:val="false"/>
          <w:smallCaps w:val="false"/>
          <w:sz w:val="20"/>
          <w:u w:val="single"/>
        </w:rPr>
        <w:t>Indemnification of Purchasers</w:t>
      </w:r>
      <w:r>
        <w:rPr>
          <w:rFonts w:ascii="Times New Roman" w:hAnsi="Times New Roman"/>
          <w:caps w:val="false"/>
          <w:smallCaps w:val="false"/>
          <w:sz w:val="20"/>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material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actual and documented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Company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or the fraud, gross negligence or willful misconduct of such Purchaser Party as determined by a final, non-appealable judgment of a court of competent jurisdiction. The indemnification required by this Section 4.8 shall be made by periodic payments of the amount thereof during the course of the investigation or defense, as and when bills are received or are incurred; provided that, if any Purchaser Party is finally judicially determined not to be entitled to indemnification or payment under this Section 4.8, such Purchaser party shall promptly reimburse the Company for any payments that are advance pursuant to this provision.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4.9 </w:t>
      </w:r>
      <w:r>
        <w:rPr>
          <w:rFonts w:ascii="Times New Roman" w:hAnsi="Times New Roman"/>
          <w:caps w:val="false"/>
          <w:smallCaps w:val="false"/>
          <w:sz w:val="20"/>
          <w:u w:val="single"/>
        </w:rPr>
        <w:t>Reservation of Common Stock</w:t>
      </w:r>
      <w:r>
        <w:rPr>
          <w:rFonts w:ascii="Times New Roman" w:hAnsi="Times New Roman"/>
          <w:caps w:val="false"/>
          <w:smallCaps w:val="false"/>
          <w:sz w:val="20"/>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4.10 </w:t>
      </w:r>
      <w:r>
        <w:rPr>
          <w:rFonts w:ascii="Times New Roman" w:hAnsi="Times New Roman"/>
          <w:caps w:val="false"/>
          <w:smallCaps w:val="false"/>
          <w:sz w:val="20"/>
          <w:u w:val="single"/>
        </w:rPr>
        <w:t>Listing of Common Stock</w:t>
      </w:r>
      <w:r>
        <w:rPr>
          <w:rFonts w:ascii="Times New Roman" w:hAnsi="Times New Roman"/>
          <w:caps w:val="false"/>
          <w:smallCaps w:val="false"/>
          <w:sz w:val="20"/>
        </w:rPr>
        <w:t>. The Company hereby agrees to use commercially reasonable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shall use its commercially reasonable best efforts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4.12 </w:t>
      </w:r>
      <w:r>
        <w:rPr>
          <w:rFonts w:ascii="Times New Roman" w:hAnsi="Times New Roman"/>
          <w:caps w:val="false"/>
          <w:smallCaps w:val="false"/>
          <w:sz w:val="20"/>
          <w:u w:val="single"/>
        </w:rPr>
        <w:t>Equal Treatment of Purchasers</w:t>
      </w:r>
      <w:r>
        <w:rPr>
          <w:rFonts w:ascii="Times New Roman" w:hAnsi="Times New Roman"/>
          <w:caps w:val="false"/>
          <w:smallCaps w:val="false"/>
          <w:sz w:val="20"/>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4.13 </w:t>
      </w:r>
      <w:r>
        <w:rPr>
          <w:rFonts w:ascii="Times New Roman" w:hAnsi="Times New Roman"/>
          <w:caps w:val="false"/>
          <w:smallCaps w:val="false"/>
          <w:sz w:val="20"/>
          <w:u w:val="single"/>
        </w:rPr>
        <w:t>Certain Transactions and Confidentiality</w:t>
      </w:r>
      <w:r>
        <w:rPr>
          <w:rFonts w:ascii="Times New Roman" w:hAnsi="Times New Roman"/>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V</w:t>
      </w:r>
      <w:r>
        <w:rPr>
          <w:rFonts w:ascii="Times New Roman" w:hAnsi="Times New Roman"/>
          <w:caps w:val="false"/>
          <w:smallCaps w:val="false"/>
          <w:sz w:val="20"/>
        </w:rPr>
        <w:br/>
        <w:t>MISCELLANEOUS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 </w:t>
      </w:r>
      <w:r>
        <w:rPr>
          <w:rFonts w:ascii="Times New Roman" w:hAnsi="Times New Roman"/>
          <w:caps w:val="false"/>
          <w:smallCaps w:val="false"/>
          <w:sz w:val="20"/>
          <w:u w:val="single"/>
        </w:rPr>
        <w:t>Termination</w:t>
      </w:r>
      <w:r>
        <w:rPr>
          <w:rFonts w:ascii="Times New Roman" w:hAnsi="Times New Roman"/>
          <w:caps w:val="false"/>
          <w:smallCaps w:val="false"/>
          <w:sz w:val="20"/>
        </w:rPr>
        <w:t xml:space="preserve">. This Agreement may be terminated by: (i) any Purchaser, as to such Purchaser’s obligations hereunder only and without any effect whatsoever on the obligations between the Company and the other Purchasers, by written notice to the other parties, or (ii) by the Company, by written notice to the Purchasers, if in either case, the Closing has not been consummated on or before the fifth (5th) Trading Day following the date hereof;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no such termination will affect the right of any party to sue for any breach by any other party (or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5.2 </w:t>
      </w:r>
      <w:r>
        <w:rPr>
          <w:rFonts w:ascii="Times New Roman" w:hAnsi="Times New Roman"/>
          <w:caps w:val="false"/>
          <w:smallCaps w:val="false"/>
          <w:sz w:val="20"/>
          <w:u w:val="single"/>
        </w:rPr>
        <w:t>Fees and Expenses</w:t>
      </w:r>
      <w:r>
        <w:rPr>
          <w:rFonts w:ascii="Times New Roman" w:hAnsi="Times New Roman"/>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5.3 </w:t>
      </w:r>
      <w:r>
        <w:rPr>
          <w:rFonts w:ascii="Times New Roman" w:hAnsi="Times New Roman"/>
          <w:caps w:val="false"/>
          <w:smallCaps w:val="false"/>
          <w:sz w:val="20"/>
          <w:u w:val="single"/>
        </w:rPr>
        <w:t>Entire Agreement</w:t>
      </w:r>
      <w:r>
        <w:rPr>
          <w:rFonts w:ascii="Times New Roman" w:hAnsi="Times New Roman"/>
          <w:caps w:val="false"/>
          <w:smallCaps w:val="false"/>
          <w:sz w:val="20"/>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5.4 </w:t>
      </w:r>
      <w:r>
        <w:rPr>
          <w:rFonts w:ascii="Times New Roman" w:hAnsi="Times New Roman"/>
          <w:caps w:val="false"/>
          <w:smallCaps w:val="false"/>
          <w:sz w:val="20"/>
          <w:u w:val="single"/>
        </w:rPr>
        <w:t>Notices</w:t>
      </w:r>
      <w:r>
        <w:rPr>
          <w:rFonts w:ascii="Times New Roman" w:hAnsi="Times New Roman"/>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5.5 </w:t>
      </w:r>
      <w:r>
        <w:rPr>
          <w:rFonts w:ascii="Times New Roman" w:hAnsi="Times New Roman"/>
          <w:caps w:val="false"/>
          <w:smallCaps w:val="false"/>
          <w:sz w:val="20"/>
          <w:u w:val="single"/>
        </w:rPr>
        <w:t>Amendments; Waivers</w:t>
      </w:r>
      <w:r>
        <w:rPr>
          <w:rFonts w:ascii="Times New Roman" w:hAnsi="Times New Roman"/>
          <w:caps w:val="false"/>
          <w:smallCaps w:val="false"/>
          <w:sz w:val="20"/>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at least 50.1% in interest (based on the initial Subscription Amounts hereunder) in the case of a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Shares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5.6 </w:t>
      </w:r>
      <w:r>
        <w:rPr>
          <w:rFonts w:ascii="Times New Roman" w:hAnsi="Times New Roman"/>
          <w:caps w:val="false"/>
          <w:smallCaps w:val="false"/>
          <w:sz w:val="20"/>
          <w:u w:val="single"/>
        </w:rPr>
        <w:t>Headings</w:t>
      </w:r>
      <w:r>
        <w:rPr>
          <w:rFonts w:ascii="Times New Roman" w:hAnsi="Times New Roman"/>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5.7 </w:t>
      </w:r>
      <w:r>
        <w:rPr>
          <w:rFonts w:ascii="Times New Roman" w:hAnsi="Times New Roman"/>
          <w:caps w:val="false"/>
          <w:smallCaps w:val="false"/>
          <w:sz w:val="20"/>
          <w:u w:val="single"/>
        </w:rPr>
        <w:t>Successors and Assigns</w:t>
      </w:r>
      <w:r>
        <w:rPr>
          <w:rFonts w:ascii="Times New Roman" w:hAnsi="Times New Roman"/>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or operation of law).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5.8 </w:t>
      </w:r>
      <w:r>
        <w:rPr>
          <w:rFonts w:ascii="Times New Roman" w:hAnsi="Times New Roman"/>
          <w:caps w:val="false"/>
          <w:smallCaps w:val="false"/>
          <w:sz w:val="20"/>
          <w:u w:val="single"/>
        </w:rPr>
        <w:t>No Third-Party Beneficiaries</w:t>
      </w:r>
      <w:r>
        <w:rPr>
          <w:rFonts w:ascii="Times New Roman" w:hAnsi="Times New Roman"/>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5.9 </w:t>
      </w:r>
      <w:r>
        <w:rPr>
          <w:rFonts w:ascii="Times New Roman" w:hAnsi="Times New Roman"/>
          <w:caps w:val="false"/>
          <w:smallCaps w:val="false"/>
          <w:sz w:val="20"/>
          <w:u w:val="single"/>
        </w:rPr>
        <w:t>Governing Law</w:t>
      </w:r>
      <w:r>
        <w:rPr>
          <w:rFonts w:ascii="Times New Roman" w:hAnsi="Times New Roman"/>
          <w:caps w:val="false"/>
          <w:smallCaps w:val="false"/>
          <w:sz w:val="20"/>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State of Delaware. Each party hereby irrevocably submits to the exclusive jurisdiction of the state and federal courts sitting in the State of Delaware,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5.10 </w:t>
      </w:r>
      <w:r>
        <w:rPr>
          <w:rFonts w:ascii="Times New Roman" w:hAnsi="Times New Roman"/>
          <w:caps w:val="false"/>
          <w:smallCaps w:val="false"/>
          <w:sz w:val="20"/>
          <w:u w:val="single"/>
        </w:rPr>
        <w:t>Survival</w:t>
      </w:r>
      <w:r>
        <w:rPr>
          <w:rFonts w:ascii="Times New Roman" w:hAnsi="Times New Roman"/>
          <w:caps w:val="false"/>
          <w:smallCaps w:val="false"/>
          <w:sz w:val="20"/>
        </w:rPr>
        <w:t>. The representations and warranties contained herein shall survive the Closing and the delivery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5.11 </w:t>
      </w:r>
      <w:r>
        <w:rPr>
          <w:rFonts w:ascii="Times New Roman" w:hAnsi="Times New Roman"/>
          <w:caps w:val="false"/>
          <w:smallCaps w:val="false"/>
          <w:sz w:val="20"/>
          <w:u w:val="single"/>
        </w:rPr>
        <w:t>Execution</w:t>
      </w:r>
      <w:r>
        <w:rPr>
          <w:rFonts w:ascii="Times New Roman" w:hAnsi="Times New Roman"/>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5.12 </w:t>
      </w:r>
      <w:r>
        <w:rPr>
          <w:rFonts w:ascii="Times New Roman" w:hAnsi="Times New Roman"/>
          <w:caps w:val="false"/>
          <w:smallCaps w:val="false"/>
          <w:sz w:val="20"/>
          <w:u w:val="single"/>
        </w:rPr>
        <w:t>Severability</w:t>
      </w:r>
      <w:r>
        <w:rPr>
          <w:rFonts w:ascii="Times New Roman" w:hAnsi="Times New Roman"/>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5.13 </w:t>
      </w:r>
      <w:r>
        <w:rPr>
          <w:rFonts w:ascii="Times New Roman" w:hAnsi="Times New Roman"/>
          <w:caps w:val="false"/>
          <w:smallCaps w:val="false"/>
          <w:sz w:val="20"/>
          <w:u w:val="single"/>
        </w:rPr>
        <w:t>Rescission and Withdrawal Right</w:t>
      </w:r>
      <w:r>
        <w:rPr>
          <w:rFonts w:ascii="Times New Roman" w:hAnsi="Times New Roman"/>
          <w:caps w:val="false"/>
          <w:smallCaps w:val="false"/>
          <w:sz w:val="20"/>
        </w:rPr>
        <w:t>. Notwithstanding anything to the contrary contained in (and without limiting any similar provisions of) any of the other Transaction Documents, whenever any Purchaser validly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5.14 </w:t>
      </w:r>
      <w:r>
        <w:rPr>
          <w:rFonts w:ascii="Times New Roman" w:hAnsi="Times New Roman"/>
          <w:caps w:val="false"/>
          <w:smallCaps w:val="false"/>
          <w:sz w:val="20"/>
          <w:u w:val="single"/>
        </w:rPr>
        <w:t>Replacement of Shares</w:t>
      </w:r>
      <w:r>
        <w:rPr>
          <w:rFonts w:ascii="Times New Roman" w:hAnsi="Times New Roman"/>
          <w:caps w:val="false"/>
          <w:smallCaps w:val="false"/>
          <w:sz w:val="20"/>
        </w:rPr>
        <w:t>.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5.15 </w:t>
      </w:r>
      <w:r>
        <w:rPr>
          <w:rFonts w:ascii="Times New Roman" w:hAnsi="Times New Roman"/>
          <w:caps w:val="false"/>
          <w:smallCaps w:val="false"/>
          <w:sz w:val="20"/>
          <w:u w:val="single"/>
        </w:rPr>
        <w:t>Remedies</w:t>
      </w:r>
      <w:r>
        <w:rPr>
          <w:rFonts w:ascii="Times New Roman" w:hAnsi="Times New Roman"/>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5.16 </w:t>
      </w:r>
      <w:r>
        <w:rPr>
          <w:rFonts w:ascii="Times New Roman" w:hAnsi="Times New Roman"/>
          <w:caps w:val="false"/>
          <w:smallCaps w:val="false"/>
          <w:sz w:val="20"/>
          <w:u w:val="single"/>
        </w:rPr>
        <w:t>Payment Set Aside</w:t>
      </w:r>
      <w:r>
        <w:rPr>
          <w:rFonts w:ascii="Times New Roman" w:hAnsi="Times New Roman"/>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5.17 </w:t>
      </w:r>
      <w:r>
        <w:rPr>
          <w:rFonts w:ascii="Times New Roman" w:hAnsi="Times New Roman"/>
          <w:caps w:val="false"/>
          <w:smallCaps w:val="false"/>
          <w:sz w:val="20"/>
          <w:u w:val="single"/>
        </w:rPr>
        <w:t>Independent Nature of Purchasers’ Obligations and Rights</w:t>
      </w:r>
      <w:r>
        <w:rPr>
          <w:rFonts w:ascii="Times New Roman" w:hAnsi="Times New Roman"/>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5.18 </w:t>
      </w:r>
      <w:r>
        <w:rPr>
          <w:rFonts w:ascii="Times New Roman" w:hAnsi="Times New Roman"/>
          <w:caps w:val="false"/>
          <w:smallCaps w:val="false"/>
          <w:sz w:val="20"/>
          <w:u w:val="single"/>
        </w:rPr>
        <w:t>Liquidated Damages</w:t>
      </w:r>
      <w:r>
        <w:rPr>
          <w:rFonts w:ascii="Times New Roman" w:hAnsi="Times New Roman"/>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5.19 </w:t>
      </w:r>
      <w:r>
        <w:rPr>
          <w:rFonts w:ascii="Times New Roman" w:hAnsi="Times New Roman"/>
          <w:caps w:val="false"/>
          <w:smallCaps w:val="false"/>
          <w:sz w:val="20"/>
          <w:u w:val="single"/>
        </w:rPr>
        <w:t>Saturdays, Sundays, Holidays, etc.</w:t>
      </w:r>
      <w:r>
        <w:rPr>
          <w:rFonts w:ascii="Times New Roman" w:hAnsi="Times New Roman"/>
          <w:caps w:val="false"/>
          <w:smallCaps w:val="false"/>
          <w:sz w:val="20"/>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5.20 </w:t>
      </w:r>
      <w:r>
        <w:rPr>
          <w:rFonts w:ascii="Times New Roman" w:hAnsi="Times New Roman"/>
          <w:caps w:val="false"/>
          <w:smallCaps w:val="false"/>
          <w:sz w:val="20"/>
          <w:u w:val="single"/>
        </w:rPr>
        <w:t>Construction</w:t>
      </w:r>
      <w:r>
        <w:rPr>
          <w:rFonts w:ascii="Times New Roman" w:hAnsi="Times New Roman"/>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5.21 </w:t>
      </w:r>
      <w:r>
        <w:rPr>
          <w:rFonts w:ascii="Times New Roman" w:hAnsi="Times New Roman"/>
          <w:b/>
          <w:caps w:val="false"/>
          <w:smallCaps w:val="false"/>
          <w:sz w:val="20"/>
          <w:u w:val="single"/>
        </w:rPr>
        <w:t>WAIVER OF JURY TRIAL</w:t>
      </w:r>
      <w:r>
        <w:rPr>
          <w:rFonts w:ascii="Times New Roman" w:hAnsi="Times New Roman"/>
          <w:b/>
          <w:caps w:val="false"/>
          <w:smallCaps w:val="false"/>
          <w:sz w:val="20"/>
        </w:rPr>
        <w:t xml:space="preserve">. </w:t>
      </w:r>
      <w:r>
        <w:rPr>
          <w:rFonts w:ascii="Times New Roman" w:hAnsi="Times New Roman"/>
          <w:b/>
          <w:caps w:val="false"/>
          <w:smallCaps w:val="false"/>
          <w:sz w:val="20"/>
          <w:u w:val="single"/>
        </w:rPr>
        <w:t xml:space="preserve">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tbl>
      <w:tblPr>
        <w:tblW w:w="7855" w:type="dxa"/>
        <w:jc w:val="left"/>
        <w:tblInd w:w="0" w:type="dxa"/>
        <w:tblLayout w:type="fixed"/>
        <w:tblCellMar>
          <w:top w:w="0" w:type="dxa"/>
          <w:left w:w="0" w:type="dxa"/>
          <w:bottom w:w="0" w:type="dxa"/>
          <w:right w:w="0" w:type="dxa"/>
        </w:tblCellMar>
      </w:tblPr>
      <w:tblGrid>
        <w:gridCol w:w="4730"/>
        <w:gridCol w:w="3125"/>
      </w:tblGrid>
      <w:tr>
        <w:trPr/>
        <w:tc>
          <w:tcPr>
            <w:tcW w:w="47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CLENE INC. </w:t>
            </w:r>
          </w:p>
        </w:tc>
        <w:tc>
          <w:tcPr>
            <w:tcW w:w="312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Address for Notice:</w:t>
            </w:r>
          </w:p>
        </w:tc>
      </w:tr>
      <w:tr>
        <w:trPr/>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By:__________________________________________</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Name: Robert Etherington</w:t>
            </w:r>
          </w:p>
          <w:p>
            <w:pPr>
              <w:pStyle w:val="TableContents"/>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Title: President and Chief Executive Officer</w:t>
            </w:r>
          </w:p>
        </w:tc>
        <w:tc>
          <w:tcPr>
            <w:tcW w:w="3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6550 South Millrock Drive, Suite G50</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Salt Lake City, Utah 84121</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rob@clene.com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[REMAINDER OF PAGE INTENTIONALLY LEFT BLANK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 FOR PURCHASER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[PURCHASER SIGNATURE PAGES TO CLENE INC. 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WITNESS WHEREOF, the undersigned have caused this Securities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of Purchaser: ________________________________________________________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Signature of Authorized Signatory of Purchaser</w:t>
      </w:r>
      <w:r>
        <w:rPr>
          <w:rFonts w:ascii="Times New Roman" w:hAnsi="Times New Roman"/>
          <w:caps w:val="false"/>
          <w:smallCaps w:val="false"/>
          <w:sz w:val="20"/>
        </w:rPr>
        <w:t>: 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 of Authorized Signatory: 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of Authorized Signatory: ________________________________________________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Email Address of Authorized Signatory: _________________________________________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for Notice to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Address for Delivery of Shares to Purchaser (if not same as address for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Subscription Amount: $_________________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EIN Number: 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caps w:val="false"/>
          <w:smallCaps w:val="false"/>
          <w:sz w:val="20"/>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first (1st)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[SIGNATURE PAGES CONTINUE]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8" w:name="ex_1016807.htm"/>
      <w:bookmarkStart w:id="9" w:name="ksex_1016807"/>
      <w:bookmarkEnd w:id="8"/>
      <w:bookmarkEnd w:id="9"/>
      <w:r>
        <w:rPr>
          <w:rFonts w:ascii="Times New Roman;Times;serif" w:hAnsi="Times New Roman;Times;serif"/>
          <w:b/>
          <w:sz w:val="20"/>
        </w:rPr>
        <w:t>Exhibit 99.1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CLENE ANNOUNCES $4 MILLION REGISTERED DIRECT OFFERING</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Investment led by Clene’s Chairman of the Board of Directors, alongside founding investor Kensington Capital Holdings, Clene’s Chief Executive Officer and other existing shareholders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$4 million registered direct offering priced at market under Nasdaq rules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Proceeds are expected to be sufficient to fund the Company to mid-first quarter 2027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SALT LAKE CITY, Sept. 15, 2026 (GLOBE NEWSWIRE)</w:t>
      </w:r>
      <w:r>
        <w:rPr>
          <w:rFonts w:ascii="Times New Roman;Times;serif" w:hAnsi="Times New Roman;Times;serif"/>
          <w:sz w:val="20"/>
        </w:rPr>
        <w:t xml:space="preserve"> -- Clene Inc. (Nasdaq: CLNN), a clinical-stage biotechnology company focused on ALS, today announced the pricing of a registered direct offering of 1,219,513 shares at a purchase price of $3.28 per share to existing shareholders, including insiders, with total gross proceeds of $4 million. The offering is expected to close on September 17, 2026.</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offering was led by Clene’s Chairman of the Board of Directors, David Matlin, alongside founding investor Kensington Capital Holdings, Clene’s Chief Executive Officer and other existing shareholders.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offering is expected to provide Clene with sufficient cash to fund its operations through mid-first quarter 2027.</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offering is being made without a placement agent, underwriter, broker or dealer. Clene intends to use the proceeds, together with its existing cash, for expenses primarily related to general corporate purposes, including to fund the effort supporting the continued regulatory dialogue and preparation of regulatory filings for CNM-Au8, including expanded access protocols, potential future commercialization efforts and manufacturing expansion.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offering is being made pursuant to a shelf registration statement on Form S-3 (File No. 333-286058), previously filed with the Securities and Exchange Commission (SEC) under the Securities Act of 1933, as amended. A final prospectus supplement and accompanying prospectus relating to the offering will be filed with the SEC and will be available on the SEC's website at www.sec.gov.</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press release shall not constitute an offer to sell or the solicitation of an offer to buy the shares of common stock. Clene will not sell any of the shares of common stock in any state or other jurisdiction in which such offer, solicitation, or sale would be unlawful prior to the registration or qualification under the securities laws of any such state or jurisdiction.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About Clene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Clene Inc. (Nasdaq: CLNN), along with its subsidiaries, “Clene” and its wholly owned subsidiary Clene Nanomedicine, Inc., is a late clinical-stage biopharmaceutical company focused on improving mitochondrial health and protecting neuronal function to treat neurodegenerative diseases, including amyotrophic lateral sclerosis, Parkinson’s disease, and multiple sclerosis. CNM-Au8® is an investigational first-in-class therapy that improves central nervous system cells’ survival and function via a mechanism that targets mitochondrial function and the NAD pathway while reducing oxidative stress. CNM-Au8® is a federally registered trademark of Clene Nanomedicine, Inc. The company is based in Salt Lake City, Utah, with R&amp;D and manufacturing operations in Maryland. For more information, please visit </w:t>
      </w:r>
      <w:r>
        <w:rPr>
          <w:rFonts w:ascii="Times New Roman;Times;serif" w:hAnsi="Times New Roman;Times;serif"/>
          <w:sz w:val="20"/>
          <w:u w:val="single"/>
        </w:rPr>
        <w:t>www.clene.com</w:t>
      </w:r>
      <w:r>
        <w:rPr>
          <w:rFonts w:ascii="Times New Roman;Times;serif" w:hAnsi="Times New Roman;Times;serif"/>
          <w:sz w:val="20"/>
        </w:rPr>
        <w:t xml:space="preserve"> or follow us on </w:t>
      </w:r>
      <w:r>
        <w:rPr>
          <w:rFonts w:ascii="Times New Roman;Times;serif" w:hAnsi="Times New Roman;Times;serif"/>
          <w:sz w:val="20"/>
          <w:u w:val="single"/>
        </w:rPr>
        <w:t>X</w:t>
      </w:r>
      <w:r>
        <w:rPr>
          <w:rFonts w:ascii="Times New Roman;Times;serif" w:hAnsi="Times New Roman;Times;serif"/>
          <w:sz w:val="20"/>
        </w:rPr>
        <w:t xml:space="preserve"> (formerly </w:t>
      </w:r>
      <w:r>
        <w:rPr>
          <w:rFonts w:ascii="Times New Roman;Times;serif" w:hAnsi="Times New Roman;Times;serif"/>
          <w:sz w:val="20"/>
          <w:u w:val="single"/>
        </w:rPr>
        <w:t>Twitter</w:t>
      </w:r>
      <w:r>
        <w:rPr>
          <w:rFonts w:ascii="Times New Roman;Times;serif" w:hAnsi="Times New Roman;Times;serif"/>
          <w:sz w:val="20"/>
        </w:rPr>
        <w:t xml:space="preserve">) and </w:t>
      </w:r>
      <w:r>
        <w:rPr>
          <w:rFonts w:ascii="Times New Roman;Times;serif" w:hAnsi="Times New Roman;Times;serif"/>
          <w:sz w:val="20"/>
          <w:u w:val="single"/>
        </w:rPr>
        <w:t>LinkedIn</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Forward Looking Statements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press release contains “forward-looking statements” within the meaning of Section 21E of the Securities Exchange Act of 1934, as amended, and Section 27A of the Securities Act of 1933, as amended, which are intended to be covered by the “safe harbor” provisions created by those laws. Clene’s forward-looking statements include, but are not limited to, statements regarding the timing of the closing of the offering. In addition, any statements that refer to projections, forecasts or other characterizations of future events or circumstances, including any underlying assumptions, are forward-looking statements. The words “anticipate,” “believe,” “contemplate,” “continue,” “estimate,” “expect,” “intends,” “may,” “might,” “plan,” “possible,” “potential,” “predict,” “project,” “should,” “will,” “would,” and similar expressions may identify forward-looking statements, but the absence of these words does not mean that a statement is not forward-looking. These forward-looking statements represent our views as of the date of this press release and involve a number of judgments, risks and uncertainties. We anticipate that subsequent events and developments will cause our views to change. We undertake no obligation to update forward-looking statements to reflect events or circumstances after the date they were made, whether as a result of new information, future events or otherwise, except as may be required under applicable securities laws. Accordingly, forward-looking statements should not be relied upon as representing our views as of any subsequent date. As a result of a number of known and unknown risks and uncertainties, our actual results or performance may be materially different from those expressed or implied by these forward-looking statements. Some factors that could cause actual results to differ include general market conditions, whether clinical trials demonstrate the efficacy and safety of our drug candidates to the satisfaction of regulatory authorities, or do not otherwise produce positive results which may cause us to incur additional costs or experience delays in completing, or ultimately be unable to complete the development and commercialization of our drug candidates; the clinical results for our drug candidates, which may not support further development or marketing approval; the post hoc and exploratory nature of the biomarker analyses described in this press release, which were not prespecified, were not adjusted for multiplicity, and are based on small patient numbers, and which may not be predictive of results in future trials; actions of regulatory agencies, which may affect the initiation, timing and progress of clinical trials and marketing approval; our ability to achieve commercial success for our drug candidates, if approved; our limited operating history and our ability to obtain additional funding for operations and to complete the development and commercialization of our drug candidates; and other risks and uncertainties set forth in “Risk Factors” in our most recent Annual Report on Form 10-K and any subsequent Quarterly Reports on Form 10-Q. In addition, statements that “we believe” and similar statements reflect our beliefs and opinions on the relevant subject. These statements are based upon information available to us as of the date of this press release,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rely unduly upon these statements. All information in this press release is as of the date of this press release. The information contained in any website referenced herein is not, and shall not be deemed to be, part of or incorporated into this press release.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Investor Contact</w:t>
      </w:r>
      <w:r>
        <w:rPr>
          <w:rFonts w:ascii="Times New Roman;Times;serif" w:hAnsi="Times New Roman;Times;serif"/>
          <w:sz w:val="20"/>
        </w:rPr>
        <w:t xml:space="preserve">: Kevin Gardner, LifeSci Advisors; </w:t>
      </w:r>
      <w:r>
        <w:rPr>
          <w:rFonts w:ascii="Times New Roman;Times;serif" w:hAnsi="Times New Roman;Times;serif"/>
          <w:sz w:val="20"/>
          <w:u w:val="single"/>
        </w:rPr>
        <w:t>kgardner@lifesciadvisors.com</w:t>
      </w:r>
      <w:r>
        <w:rPr>
          <w:rFonts w:ascii="Times New Roman;Times;serif" w:hAnsi="Times New Roman;Times;serif"/>
          <w:sz w:val="20"/>
        </w:rPr>
        <w:t>; 617-283-2856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Media Contact</w:t>
      </w:r>
      <w:r>
        <w:rPr>
          <w:rFonts w:ascii="Times New Roman;Times;serif" w:hAnsi="Times New Roman;Times;serif"/>
          <w:sz w:val="20"/>
        </w:rPr>
        <w:t xml:space="preserve">: Caroline Wagner, FTP; </w:t>
      </w:r>
      <w:r>
        <w:rPr>
          <w:rFonts w:ascii="Times New Roman;Times;serif" w:hAnsi="Times New Roman;Times;serif"/>
          <w:sz w:val="20"/>
          <w:u w:val="single"/>
        </w:rPr>
        <w:t>CWagner@ftpadvocacy.com</w:t>
      </w:r>
      <w:r>
        <w:rPr>
          <w:rFonts w:ascii="Times New Roman;Times;serif" w:hAnsi="Times New Roman;Times;serif"/>
          <w:sz w:val="20"/>
        </w:rPr>
        <w:t>; (267) 294-6563</w:t>
      </w:r>
    </w:p>
    <w:p>
      <w:pPr>
        <w:pStyle w:val="TextBody"/>
        <w:bidi w:val="0"/>
        <w:spacing w:before="0" w:after="0"/>
        <w:ind w:left="0" w:right="0" w:hanging="0"/>
        <w:jc w:val="both"/>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19440</Words>
  <Characters>104962</Characters>
  <CharactersWithSpaces>124410</CharactersWithSpaces>
  <Paragraphs>647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