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clnn20260630_10q.htm"/>
      <w:bookmarkStart w:id="1" w:name="ksclnn20260630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12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Washington, D.C. 20549</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center"/>
        <w:rPr>
          <w:rFonts w:ascii="Times New Roman;Times;serif" w:hAnsi="Times New Roman;Times;serif"/>
          <w:b/>
          <w:caps w:val="false"/>
          <w:smallCaps w:val="false"/>
          <w:sz w:val="32"/>
        </w:rPr>
      </w:pPr>
      <w:r>
        <w:rPr>
          <w:rFonts w:ascii="Times New Roman;Times;serif" w:hAnsi="Times New Roman;Times;serif"/>
          <w:b/>
          <w:caps w:val="false"/>
          <w:smallCaps w:val="false"/>
          <w:sz w:val="32"/>
        </w:rPr>
        <w:t>FORM 10-Q</w:t>
      </w:r>
    </w:p>
    <w:p>
      <w:pPr>
        <w:pStyle w:val="HorizontalLine"/>
        <w:pBdr>
          <w:bottom w:val="double" w:sz="2" w:space="0" w:color="808080"/>
        </w:pBdr>
        <w:bidi w:val="0"/>
        <w:spacing w:before="0" w:after="283"/>
        <w:jc w:val="left"/>
        <w:rPr/>
      </w:pPr>
      <w:r>
        <w:rPr/>
      </w:r>
    </w:p>
    <w:p>
      <w:pPr>
        <w:pStyle w:val="TextBody"/>
        <w:bidi w:val="0"/>
        <w:spacing w:before="120" w:after="6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(Mark One)</w:t>
      </w:r>
    </w:p>
    <w:p>
      <w:pPr>
        <w:pStyle w:val="TextBody"/>
        <w:bidi w:val="0"/>
        <w:spacing w:before="60" w:after="60"/>
        <w:ind w:left="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16"/>
        </w:rPr>
        <w:t>QUARTERLY REPORT PURSUANT TO SECTION 13 OR 15(d) OF THE SECURITIES EXCHANGE ACT OF 1934</w:t>
      </w:r>
    </w:p>
    <w:p>
      <w:pPr>
        <w:pStyle w:val="TextBody"/>
        <w:bidi w:val="0"/>
        <w:spacing w:before="60" w:after="6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For the quarterly period ended June 30, 2026</w:t>
      </w:r>
    </w:p>
    <w:p>
      <w:pPr>
        <w:pStyle w:val="TextBody"/>
        <w:bidi w:val="0"/>
        <w:spacing w:before="60" w:after="6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or</w:t>
      </w:r>
    </w:p>
    <w:p>
      <w:pPr>
        <w:pStyle w:val="TextBody"/>
        <w:bidi w:val="0"/>
        <w:spacing w:before="60" w:after="60"/>
        <w:ind w:left="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16"/>
        </w:rPr>
        <w:t>TRANSITION REPORT PURSUANT TO SECTION 13 OR 15(d) OF THE SECURITIES EXCHANGE ACT OF 1934</w:t>
      </w:r>
    </w:p>
    <w:p>
      <w:pPr>
        <w:pStyle w:val="TextBody"/>
        <w:bidi w:val="0"/>
        <w:spacing w:before="60" w:after="6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For the transition period from _____________ to _____________</w:t>
      </w:r>
    </w:p>
    <w:p>
      <w:pPr>
        <w:pStyle w:val="TextBody"/>
        <w:bidi w:val="0"/>
        <w:spacing w:before="12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 xml:space="preserve">Commission file number: </w:t>
      </w:r>
      <w:r>
        <w:rPr>
          <w:rFonts w:ascii="Times New Roman;Times;serif" w:hAnsi="Times New Roman;Times;serif"/>
          <w:b/>
          <w:caps w:val="false"/>
          <w:smallCaps w:val="false"/>
          <w:sz w:val="16"/>
          <w:u w:val="single"/>
        </w:rPr>
        <w:t>001-39834</w:t>
      </w:r>
    </w:p>
    <w:p>
      <w:pPr>
        <w:pStyle w:val="HorizontalLine"/>
        <w:pBdr>
          <w:bottom w:val="double" w:sz="2" w:space="0" w:color="808080"/>
        </w:pBdr>
        <w:bidi w:val="0"/>
        <w:spacing w:before="0" w:after="283"/>
        <w:jc w:val="left"/>
        <w:rPr/>
      </w:pPr>
      <w:r>
        <w:rPr/>
      </w:r>
    </w:p>
    <w:p>
      <w:pPr>
        <w:pStyle w:val="TextBody"/>
        <w:bidi w:val="0"/>
        <w:spacing w:before="120" w:after="60"/>
        <w:ind w:left="0" w:right="0" w:hanging="0"/>
        <w:jc w:val="center"/>
        <w:rPr>
          <w:rFonts w:ascii="Times New Roman;Times;serif" w:hAnsi="Times New Roman;Times;serif"/>
          <w:b/>
          <w:caps w:val="false"/>
          <w:smallCaps w:val="false"/>
          <w:sz w:val="36"/>
        </w:rPr>
      </w:pPr>
      <w:r>
        <w:rPr>
          <w:rFonts w:ascii="Times New Roman;Times;serif" w:hAnsi="Times New Roman;Times;serif"/>
          <w:b/>
          <w:caps w:val="false"/>
          <w:smallCaps w:val="false"/>
          <w:sz w:val="36"/>
        </w:rPr>
        <w:t>CLENE INC.</w:t>
      </w:r>
    </w:p>
    <w:p>
      <w:pPr>
        <w:pStyle w:val="TextBody"/>
        <w:bidi w:val="0"/>
        <w:spacing w:before="6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28" w:type="dxa"/>
          <w:right w:w="0" w:type="dxa"/>
        </w:tblCellMar>
      </w:tblPr>
      <w:tblGrid>
        <w:gridCol w:w="2150"/>
        <w:gridCol w:w="60"/>
        <w:gridCol w:w="1325"/>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Delaware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85-2828339</w:t>
            </w:r>
          </w:p>
        </w:tc>
      </w:tr>
      <w:tr>
        <w:trPr/>
        <w:tc>
          <w:tcPr>
            <w:tcW w:w="21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28" w:type="dxa"/>
          <w:right w:w="0" w:type="dxa"/>
        </w:tblCellMar>
      </w:tblPr>
      <w:tblGrid>
        <w:gridCol w:w="2780"/>
        <w:gridCol w:w="60"/>
        <w:gridCol w:w="800"/>
      </w:tblGrid>
      <w:tr>
        <w:trPr/>
        <w:tc>
          <w:tcPr>
            <w:tcW w:w="27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6550 South Millrock Drive, Suite G50</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Salt Lake City, Utah</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84121</w:t>
            </w:r>
          </w:p>
        </w:tc>
      </w:tr>
      <w:tr>
        <w:trPr/>
        <w:tc>
          <w:tcPr>
            <w:tcW w:w="27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60"/>
        <w:gridCol w:w="1145"/>
        <w:gridCol w:w="60"/>
      </w:tblGrid>
      <w:tr>
        <w:trPr/>
        <w:tc>
          <w:tcPr>
            <w:tcW w:w="60" w:type="dxa"/>
            <w:tcBorders/>
            <w:vAlign w:val="center"/>
          </w:tcPr>
          <w:p>
            <w:pPr>
              <w:pStyle w:val="TableContents"/>
              <w:bidi w:val="0"/>
              <w:spacing w:before="0" w:after="283"/>
              <w:jc w:val="center"/>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sz w:val="16"/>
              </w:rPr>
            </w:pPr>
            <w:r>
              <w:rPr>
                <w:b/>
                <w:sz w:val="16"/>
              </w:rPr>
              <w:t>(801) 676-9695</w:t>
            </w:r>
          </w:p>
        </w:tc>
        <w:tc>
          <w:tcPr>
            <w:tcW w:w="60" w:type="dxa"/>
            <w:tcBorders/>
            <w:vAlign w:val="center"/>
          </w:tcPr>
          <w:p>
            <w:pPr>
              <w:pStyle w:val="TableContents"/>
              <w:bidi w:val="0"/>
              <w:spacing w:before="0" w:after="283"/>
              <w:jc w:val="center"/>
              <w:rPr/>
            </w:pPr>
            <w:r>
              <w:rPr/>
              <w:t> </w:t>
            </w:r>
          </w:p>
        </w:tc>
      </w:tr>
    </w:tbl>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(Registrant’s telephone number, including area code)</w:t>
      </w:r>
    </w:p>
    <w:tbl>
      <w:tblPr>
        <w:tblW w:w="425" w:type="dxa"/>
        <w:jc w:val="left"/>
        <w:tblInd w:w="0" w:type="dxa"/>
        <w:tblLayout w:type="fixed"/>
        <w:tblCellMar>
          <w:top w:w="0" w:type="dxa"/>
          <w:left w:w="0" w:type="dxa"/>
          <w:bottom w:w="0" w:type="dxa"/>
          <w:right w:w="0" w:type="dxa"/>
        </w:tblCellMar>
      </w:tblPr>
      <w:tblGrid>
        <w:gridCol w:w="60"/>
        <w:gridCol w:w="305"/>
        <w:gridCol w:w="60"/>
      </w:tblGrid>
      <w:tr>
        <w:trPr/>
        <w:tc>
          <w:tcPr>
            <w:tcW w:w="60" w:type="dxa"/>
            <w:tcBorders/>
            <w:vAlign w:val="center"/>
          </w:tcPr>
          <w:p>
            <w:pPr>
              <w:pStyle w:val="TableContents"/>
              <w:bidi w:val="0"/>
              <w:spacing w:before="0" w:after="283"/>
              <w:jc w:val="center"/>
              <w:rPr/>
            </w:pPr>
            <w:r>
              <w:rPr/>
              <w:t> </w:t>
            </w:r>
          </w:p>
        </w:tc>
        <w:tc>
          <w:tcPr>
            <w:tcW w:w="305" w:type="dxa"/>
            <w:tcBorders>
              <w:bottom w:val="single" w:sz="2" w:space="0" w:color="000000"/>
            </w:tcBorders>
            <w:tcMar>
              <w:bottom w:w="28" w:type="dxa"/>
            </w:tcMar>
            <w:vAlign w:val="center"/>
          </w:tcPr>
          <w:p>
            <w:pPr>
              <w:pStyle w:val="TableContents"/>
              <w:bidi w:val="0"/>
              <w:spacing w:before="0" w:after="283"/>
              <w:jc w:val="center"/>
              <w:rPr>
                <w:b/>
                <w:sz w:val="16"/>
              </w:rPr>
            </w:pPr>
            <w:r>
              <w:rPr>
                <w:b/>
                <w:sz w:val="16"/>
              </w:rPr>
              <w:t>N/A</w:t>
            </w:r>
          </w:p>
        </w:tc>
        <w:tc>
          <w:tcPr>
            <w:tcW w:w="60" w:type="dxa"/>
            <w:tcBorders/>
            <w:vAlign w:val="center"/>
          </w:tcPr>
          <w:p>
            <w:pPr>
              <w:pStyle w:val="TableContents"/>
              <w:bidi w:val="0"/>
              <w:spacing w:before="0" w:after="283"/>
              <w:jc w:val="center"/>
              <w:rPr/>
            </w:pPr>
            <w:r>
              <w:rPr/>
              <w:t> </w:t>
            </w:r>
          </w:p>
        </w:tc>
      </w:tr>
    </w:tbl>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(Former name, former address, and former fiscal year, if changed since last report)</w:t>
      </w:r>
    </w:p>
    <w:p>
      <w:pPr>
        <w:pStyle w:val="TextBody"/>
        <w:bidi w:val="0"/>
        <w:spacing w:before="12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Securities registered pursuant to Section 12(b) of the Act:</w:t>
      </w:r>
    </w:p>
    <w:tbl>
      <w:tblPr>
        <w:tblW w:w="7170" w:type="dxa"/>
        <w:jc w:val="left"/>
        <w:tblInd w:w="0" w:type="dxa"/>
        <w:tblLayout w:type="fixed"/>
        <w:tblCellMar>
          <w:top w:w="0" w:type="dxa"/>
          <w:left w:w="0" w:type="dxa"/>
          <w:bottom w:w="28" w:type="dxa"/>
          <w:right w:w="0" w:type="dxa"/>
        </w:tblCellMar>
      </w:tblPr>
      <w:tblGrid>
        <w:gridCol w:w="2480"/>
        <w:gridCol w:w="60"/>
        <w:gridCol w:w="1370"/>
        <w:gridCol w:w="60"/>
        <w:gridCol w:w="320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Trading Symbol(s)</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Name of each exchange on which registered</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CLNN</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The Nasdaq Capital Market</w:t>
            </w:r>
          </w:p>
        </w:tc>
      </w:tr>
    </w:tbl>
    <w:p>
      <w:pPr>
        <w:pStyle w:val="TextBody"/>
        <w:bidi w:val="0"/>
        <w:spacing w:before="120" w:after="8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8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8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95" w:type="dxa"/>
        <w:jc w:val="left"/>
        <w:tblInd w:w="0" w:type="dxa"/>
        <w:tblLayout w:type="fixed"/>
        <w:tblCellMar>
          <w:top w:w="0" w:type="dxa"/>
          <w:left w:w="0" w:type="dxa"/>
          <w:bottom w:w="0" w:type="dxa"/>
          <w:right w:w="0" w:type="dxa"/>
        </w:tblCellMar>
      </w:tblPr>
      <w:tblGrid>
        <w:gridCol w:w="1580"/>
        <w:gridCol w:w="230"/>
        <w:gridCol w:w="1940"/>
        <w:gridCol w:w="245"/>
      </w:tblGrid>
      <w:tr>
        <w:trPr/>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Emerging growth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80" w:after="8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8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Indicate by check mark whether the registrant is a shell company (as defined in Rule 12b-2 of the Exchange Act). Yes ☐ No ☒</w:t>
      </w:r>
    </w:p>
    <w:p>
      <w:pPr>
        <w:pStyle w:val="TextBody"/>
        <w:bidi w:val="0"/>
        <w:spacing w:before="80" w:after="8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The number of shares outstanding of the registrant’s common stock as of August 11, 2026 was 12,848,513.</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CLENE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 for the Quarter Ended June 30, 2026</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5"/>
        <w:gridCol w:w="710"/>
        <w:gridCol w:w="7280"/>
        <w:gridCol w:w="395"/>
      </w:tblGrid>
      <w:tr>
        <w:trPr/>
        <w:tc>
          <w:tcPr>
            <w:tcW w:w="8065" w:type="dxa"/>
            <w:gridSpan w:val="3"/>
            <w:tcBorders/>
            <w:vAlign w:val="center"/>
          </w:tcPr>
          <w:p>
            <w:pPr>
              <w:pStyle w:val="TableContents"/>
              <w:bidi w:val="0"/>
              <w:spacing w:before="0" w:after="283"/>
              <w:jc w:val="left"/>
              <w:rPr/>
            </w:pPr>
            <w:r>
              <w:rPr/>
              <w:t> </w:t>
            </w:r>
          </w:p>
        </w:tc>
        <w:tc>
          <w:tcPr>
            <w:tcW w:w="39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Page</w:t>
            </w:r>
          </w:p>
        </w:tc>
      </w:tr>
      <w:tr>
        <w:trPr/>
        <w:tc>
          <w:tcPr>
            <w:tcW w:w="8065" w:type="dxa"/>
            <w:gridSpan w:val="3"/>
            <w:tcBorders/>
            <w:shd w:fill="CCEEFF" w:val="clear"/>
            <w:vAlign w:val="center"/>
          </w:tcPr>
          <w:p>
            <w:pPr>
              <w:pStyle w:val="TableContents"/>
              <w:bidi w:val="0"/>
              <w:spacing w:before="0" w:after="283"/>
              <w:jc w:val="left"/>
              <w:rPr/>
            </w:pPr>
            <w:hyperlink w:anchor="PART_IFINANCIAL_INFORMATION">
              <w:r>
                <w:rPr>
                  <w:rStyle w:val="InternetLink"/>
                  <w:rFonts w:ascii="Times New Roman;Times;serif" w:hAnsi="Times New Roman;Times;serif"/>
                  <w:b/>
                  <w:sz w:val="20"/>
                </w:rPr>
                <w:t>PART I</w:t>
              </w:r>
            </w:hyperlink>
            <w:hyperlink w:anchor="PART_IFINANCIAL_INFORMATION">
              <w:r>
                <w:rPr>
                  <w:rStyle w:val="InternetLink"/>
                  <w:rFonts w:ascii="Times New Roman;Times;serif" w:hAnsi="Times New Roman;Times;serif"/>
                  <w:sz w:val="20"/>
                </w:rPr>
                <w:t>—</w:t>
              </w:r>
            </w:hyperlink>
            <w:hyperlink w:anchor="PART_IFINANCIAL_INFORMATION">
              <w:r>
                <w:rPr>
                  <w:rStyle w:val="InternetLink"/>
                  <w:rFonts w:ascii="Times New Roman;Times;serif" w:hAnsi="Times New Roman;Times;serif"/>
                  <w:b/>
                  <w:sz w:val="20"/>
                </w:rPr>
                <w:t>FINANCIAL INFORMATION</w:t>
              </w:r>
            </w:hyperlink>
          </w:p>
        </w:tc>
        <w:tc>
          <w:tcPr>
            <w:tcW w:w="395" w:type="dxa"/>
            <w:tcBorders/>
            <w:shd w:fill="CCEEFF" w:val="clear"/>
            <w:vAlign w:val="center"/>
          </w:tcPr>
          <w:p>
            <w:pPr>
              <w:pStyle w:val="TableContents"/>
              <w:bidi w:val="0"/>
              <w:spacing w:before="0" w:after="0"/>
              <w:ind w:left="0" w:right="0" w:hanging="0"/>
              <w:jc w:val="center"/>
              <w:rPr/>
            </w:pPr>
            <w:hyperlink w:anchor="PART_IFINANCIAL_INFORMATION">
              <w:r>
                <w:rPr>
                  <w:rStyle w:val="InternetLink"/>
                  <w:rFonts w:ascii="Times New Roman;Times;serif" w:hAnsi="Times New Roman;Times;serif"/>
                  <w:caps w:val="false"/>
                  <w:smallCaps w:val="false"/>
                  <w:sz w:val="20"/>
                  <w:u w:val="single"/>
                </w:rPr>
                <w:t>1</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1._Financial_Statements">
              <w:r>
                <w:rPr>
                  <w:rStyle w:val="InternetLink"/>
                  <w:rFonts w:ascii="Times New Roman;Times;serif" w:hAnsi="Times New Roman;Times;serif"/>
                  <w:caps w:val="false"/>
                  <w:smallCaps w:val="false"/>
                  <w:sz w:val="20"/>
                </w:rPr>
                <w:t>Item 1.</w:t>
              </w:r>
            </w:hyperlink>
          </w:p>
        </w:tc>
        <w:tc>
          <w:tcPr>
            <w:tcW w:w="7280" w:type="dxa"/>
            <w:tcBorders/>
            <w:shd w:fill="FFFFFF" w:val="clear"/>
            <w:vAlign w:val="center"/>
          </w:tcPr>
          <w:p>
            <w:pPr>
              <w:pStyle w:val="TableContents"/>
              <w:bidi w:val="0"/>
              <w:spacing w:before="0" w:after="0"/>
              <w:ind w:left="0" w:right="0" w:hanging="0"/>
              <w:jc w:val="left"/>
              <w:rPr/>
            </w:pPr>
            <w:hyperlink w:anchor="Item_1._Financial_Statements">
              <w:r>
                <w:rPr>
                  <w:rStyle w:val="InternetLink"/>
                  <w:rFonts w:ascii="Times New Roman;Times;serif" w:hAnsi="Times New Roman;Times;serif"/>
                  <w:caps w:val="false"/>
                  <w:smallCaps w:val="false"/>
                  <w:sz w:val="20"/>
                </w:rPr>
                <w:t>Financial Statements (Unaudited)</w:t>
              </w:r>
            </w:hyperlink>
          </w:p>
        </w:tc>
        <w:tc>
          <w:tcPr>
            <w:tcW w:w="395" w:type="dxa"/>
            <w:tcBorders/>
            <w:shd w:fill="FFFFFF" w:val="clear"/>
            <w:vAlign w:val="center"/>
          </w:tcPr>
          <w:p>
            <w:pPr>
              <w:pStyle w:val="TableContents"/>
              <w:bidi w:val="0"/>
              <w:spacing w:before="0" w:after="0"/>
              <w:ind w:left="0" w:right="0" w:hanging="0"/>
              <w:jc w:val="center"/>
              <w:rPr/>
            </w:pPr>
            <w:hyperlink w:anchor="Item_1._Financial_Statements">
              <w:r>
                <w:rPr>
                  <w:rStyle w:val="InternetLink"/>
                  <w:rFonts w:ascii="Times New Roman;Times;serif" w:hAnsi="Times New Roman;Times;serif"/>
                  <w:caps w:val="false"/>
                  <w:smallCaps w:val="false"/>
                  <w:sz w:val="20"/>
                  <w:u w:val="single"/>
                </w:rPr>
                <w:t>1</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500" w:right="0" w:hanging="0"/>
              <w:jc w:val="left"/>
              <w:rPr/>
            </w:pPr>
            <w:hyperlink w:anchor="BALANCE_SHEETS">
              <w:r>
                <w:rPr>
                  <w:rStyle w:val="InternetLink"/>
                  <w:rFonts w:ascii="Times New Roman;Times;serif" w:hAnsi="Times New Roman;Times;serif"/>
                  <w:caps w:val="false"/>
                  <w:smallCaps w:val="false"/>
                  <w:sz w:val="20"/>
                </w:rPr>
                <w:t>Condensed Consolidated Balance Sheets</w:t>
              </w:r>
            </w:hyperlink>
          </w:p>
        </w:tc>
        <w:tc>
          <w:tcPr>
            <w:tcW w:w="395" w:type="dxa"/>
            <w:tcBorders/>
            <w:shd w:fill="CCEEFF" w:val="clear"/>
            <w:vAlign w:val="center"/>
          </w:tcPr>
          <w:p>
            <w:pPr>
              <w:pStyle w:val="TableContents"/>
              <w:bidi w:val="0"/>
              <w:spacing w:before="0" w:after="283"/>
              <w:jc w:val="center"/>
              <w:rPr/>
            </w:pPr>
            <w:hyperlink w:anchor="BALANCE_SHEETS">
              <w:r>
                <w:rPr>
                  <w:rStyle w:val="InternetLink"/>
                  <w:rFonts w:ascii="Times New Roman;Times;serif" w:hAnsi="Times New Roman;Times;serif"/>
                  <w:sz w:val="20"/>
                  <w:u w:val="single"/>
                </w:rPr>
                <w:t>1</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0"/>
              <w:ind w:left="500" w:right="0" w:hanging="0"/>
              <w:jc w:val="left"/>
              <w:rPr/>
            </w:pPr>
            <w:hyperlink w:anchor="INCOME_STATEMENT">
              <w:r>
                <w:rPr>
                  <w:rStyle w:val="InternetLink"/>
                  <w:rFonts w:ascii="Times New Roman;Times;serif" w:hAnsi="Times New Roman;Times;serif"/>
                  <w:caps w:val="false"/>
                  <w:smallCaps w:val="false"/>
                  <w:sz w:val="20"/>
                </w:rPr>
                <w:t>Condensed Consolidated Statements of Operations and Comprehensive Loss</w:t>
              </w:r>
            </w:hyperlink>
          </w:p>
        </w:tc>
        <w:tc>
          <w:tcPr>
            <w:tcW w:w="395" w:type="dxa"/>
            <w:tcBorders/>
            <w:shd w:fill="FFFFFF" w:val="clear"/>
            <w:vAlign w:val="center"/>
          </w:tcPr>
          <w:p>
            <w:pPr>
              <w:pStyle w:val="TableContents"/>
              <w:bidi w:val="0"/>
              <w:spacing w:before="0" w:after="283"/>
              <w:jc w:val="center"/>
              <w:rPr/>
            </w:pPr>
            <w:hyperlink w:anchor="INCOME_STATEMENT">
              <w:r>
                <w:rPr>
                  <w:rStyle w:val="InternetLink"/>
                  <w:rFonts w:ascii="Times New Roman;Times;serif" w:hAnsi="Times New Roman;Times;serif"/>
                  <w:sz w:val="20"/>
                  <w:u w:val="single"/>
                </w:rPr>
                <w:t>2</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500" w:right="0" w:hanging="0"/>
              <w:jc w:val="left"/>
              <w:rPr/>
            </w:pPr>
            <w:hyperlink w:anchor="STATEMENTS_OF_STOCKHOLDERS_EQUITY">
              <w:r>
                <w:rPr>
                  <w:rStyle w:val="InternetLink"/>
                  <w:rFonts w:ascii="Times New Roman;Times;serif" w:hAnsi="Times New Roman;Times;serif"/>
                  <w:caps w:val="false"/>
                  <w:smallCaps w:val="false"/>
                  <w:sz w:val="20"/>
                </w:rPr>
                <w:t>Condensed Consolidated Statements of Stockholders’ Deficit</w:t>
              </w:r>
            </w:hyperlink>
          </w:p>
        </w:tc>
        <w:tc>
          <w:tcPr>
            <w:tcW w:w="395" w:type="dxa"/>
            <w:tcBorders/>
            <w:shd w:fill="CCEEFF" w:val="clear"/>
            <w:vAlign w:val="center"/>
          </w:tcPr>
          <w:p>
            <w:pPr>
              <w:pStyle w:val="TableContents"/>
              <w:bidi w:val="0"/>
              <w:spacing w:before="0" w:after="0"/>
              <w:ind w:left="0" w:right="0" w:hanging="0"/>
              <w:jc w:val="center"/>
              <w:rPr/>
            </w:pPr>
            <w:hyperlink w:anchor="STATEMENTS_OF_STOCKHOLDERS_EQUITY">
              <w:r>
                <w:rPr>
                  <w:rStyle w:val="InternetLink"/>
                  <w:rFonts w:ascii="Times New Roman;Times;serif" w:hAnsi="Times New Roman;Times;serif"/>
                  <w:caps w:val="false"/>
                  <w:smallCaps w:val="false"/>
                  <w:sz w:val="20"/>
                  <w:u w:val="single"/>
                </w:rPr>
                <w:t>3</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0"/>
              <w:ind w:left="500" w:right="0" w:hanging="0"/>
              <w:jc w:val="left"/>
              <w:rPr/>
            </w:pPr>
            <w:hyperlink w:anchor="STATEMENTS_OF_CASH_FLOWS">
              <w:r>
                <w:rPr>
                  <w:rStyle w:val="InternetLink"/>
                  <w:rFonts w:ascii="Times New Roman;Times;serif" w:hAnsi="Times New Roman;Times;serif"/>
                  <w:caps w:val="false"/>
                  <w:smallCaps w:val="false"/>
                  <w:sz w:val="20"/>
                </w:rPr>
                <w:t>Condensed Consolidated Statements of Cash Flows</w:t>
              </w:r>
            </w:hyperlink>
          </w:p>
        </w:tc>
        <w:tc>
          <w:tcPr>
            <w:tcW w:w="395" w:type="dxa"/>
            <w:tcBorders/>
            <w:shd w:fill="FFFFFF" w:val="clear"/>
            <w:vAlign w:val="center"/>
          </w:tcPr>
          <w:p>
            <w:pPr>
              <w:pStyle w:val="TableContents"/>
              <w:bidi w:val="0"/>
              <w:spacing w:before="0" w:after="0"/>
              <w:ind w:left="0" w:right="0" w:hanging="0"/>
              <w:jc w:val="center"/>
              <w:rPr/>
            </w:pPr>
            <w:hyperlink w:anchor="STATEMENTS_OF_CASH_FLOWS">
              <w:r>
                <w:rPr>
                  <w:rStyle w:val="InternetLink"/>
                  <w:rFonts w:ascii="Times New Roman;Times;serif" w:hAnsi="Times New Roman;Times;serif"/>
                  <w:caps w:val="false"/>
                  <w:smallCaps w:val="false"/>
                  <w:sz w:val="20"/>
                  <w:u w:val="single"/>
                </w:rPr>
                <w:t>4</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500" w:right="0" w:hanging="0"/>
              <w:jc w:val="left"/>
              <w:rPr/>
            </w:pPr>
            <w:hyperlink w:anchor="NOTES_TO_THE_FINANCIAL_STATEMENTS">
              <w:r>
                <w:rPr>
                  <w:rStyle w:val="InternetLink"/>
                  <w:rFonts w:ascii="Times New Roman;Times;serif" w:hAnsi="Times New Roman;Times;serif"/>
                  <w:caps w:val="false"/>
                  <w:smallCaps w:val="false"/>
                  <w:sz w:val="20"/>
                </w:rPr>
                <w:t>Notes to Condensed Consolidated Financial Statements</w:t>
              </w:r>
            </w:hyperlink>
          </w:p>
        </w:tc>
        <w:tc>
          <w:tcPr>
            <w:tcW w:w="395" w:type="dxa"/>
            <w:tcBorders/>
            <w:shd w:fill="CCEEFF" w:val="clear"/>
            <w:vAlign w:val="center"/>
          </w:tcPr>
          <w:p>
            <w:pPr>
              <w:pStyle w:val="TableContents"/>
              <w:bidi w:val="0"/>
              <w:spacing w:before="0" w:after="0"/>
              <w:ind w:left="0" w:right="0" w:hanging="0"/>
              <w:jc w:val="center"/>
              <w:rPr/>
            </w:pPr>
            <w:hyperlink w:anchor="NOTES_TO_THE_FINANCIAL_STATEMENTS">
              <w:r>
                <w:rPr>
                  <w:rStyle w:val="InternetLink"/>
                  <w:rFonts w:ascii="Times New Roman;Times;serif" w:hAnsi="Times New Roman;Times;serif"/>
                  <w:caps w:val="false"/>
                  <w:smallCaps w:val="false"/>
                  <w:sz w:val="20"/>
                  <w:u w:val="single"/>
                </w:rPr>
                <w:t>5</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2._Managements_Discussion_and_Analysis_of_Financial_Condition_and_Results_of_Operations">
              <w:r>
                <w:rPr>
                  <w:rStyle w:val="InternetLink"/>
                  <w:rFonts w:ascii="Times New Roman;Times;serif" w:hAnsi="Times New Roman;Times;serif"/>
                  <w:caps w:val="false"/>
                  <w:smallCaps w:val="false"/>
                  <w:sz w:val="20"/>
                </w:rPr>
                <w:t>Item 2.</w:t>
              </w:r>
            </w:hyperlink>
          </w:p>
        </w:tc>
        <w:tc>
          <w:tcPr>
            <w:tcW w:w="7280" w:type="dxa"/>
            <w:tcBorders/>
            <w:shd w:fill="FFFFFF" w:val="clear"/>
            <w:vAlign w:val="center"/>
          </w:tcPr>
          <w:p>
            <w:pPr>
              <w:pStyle w:val="TableContents"/>
              <w:bidi w:val="0"/>
              <w:spacing w:before="0" w:after="0"/>
              <w:ind w:left="0" w:right="0" w:hanging="0"/>
              <w:jc w:val="left"/>
              <w:rPr/>
            </w:pPr>
            <w:hyperlink w:anchor="Item_2._Managements_Discussion_and_Analysis_of_Financial_Condition_and_Results_of_Operations">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395" w:type="dxa"/>
            <w:tcBorders/>
            <w:shd w:fill="FFFFFF" w:val="clear"/>
            <w:vAlign w:val="center"/>
          </w:tcPr>
          <w:p>
            <w:pPr>
              <w:pStyle w:val="TableContents"/>
              <w:bidi w:val="0"/>
              <w:spacing w:before="0" w:after="0"/>
              <w:ind w:left="0" w:right="0" w:hanging="0"/>
              <w:jc w:val="center"/>
              <w:rPr/>
            </w:pPr>
            <w:hyperlink w:anchor="Item_2._Managements_Discussion_and_Analysis_of_Financial_Condition_and_Results_of_Operations">
              <w:r>
                <w:rPr>
                  <w:rStyle w:val="InternetLink"/>
                  <w:rFonts w:ascii="Times New Roman;Times;serif" w:hAnsi="Times New Roman;Times;serif"/>
                  <w:caps w:val="false"/>
                  <w:smallCaps w:val="false"/>
                  <w:sz w:val="20"/>
                  <w:u w:val="single"/>
                </w:rPr>
                <w:t>28</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500" w:right="0" w:hanging="540"/>
              <w:jc w:val="left"/>
              <w:rPr/>
            </w:pPr>
            <w:hyperlink w:anchor="Item_3._Quantitative_and_Qualitative_Disclosures_About_Market_Risk">
              <w:r>
                <w:rPr>
                  <w:rStyle w:val="InternetLink"/>
                  <w:rFonts w:ascii="Times New Roman;Times;serif" w:hAnsi="Times New Roman;Times;serif"/>
                  <w:caps w:val="false"/>
                  <w:smallCaps w:val="false"/>
                  <w:sz w:val="20"/>
                </w:rPr>
                <w:t>Item 3.</w:t>
              </w:r>
            </w:hyperlink>
          </w:p>
        </w:tc>
        <w:tc>
          <w:tcPr>
            <w:tcW w:w="7280" w:type="dxa"/>
            <w:tcBorders/>
            <w:shd w:fill="CCEEFF" w:val="clear"/>
            <w:vAlign w:val="center"/>
          </w:tcPr>
          <w:p>
            <w:pPr>
              <w:pStyle w:val="TableContents"/>
              <w:bidi w:val="0"/>
              <w:spacing w:before="0" w:after="0"/>
              <w:ind w:left="0" w:right="0" w:hanging="0"/>
              <w:jc w:val="left"/>
              <w:rPr/>
            </w:pPr>
            <w:hyperlink w:anchor="Item_3._Quantitative_and_Qualitative_Disclosures_About_Market_Risk">
              <w:r>
                <w:rPr>
                  <w:rStyle w:val="InternetLink"/>
                  <w:rFonts w:ascii="Times New Roman;Times;serif" w:hAnsi="Times New Roman;Times;serif"/>
                  <w:caps w:val="false"/>
                  <w:smallCaps w:val="false"/>
                  <w:sz w:val="20"/>
                </w:rPr>
                <w:t>Quantitative and Qualitative Disclosures About Market Risk</w:t>
              </w:r>
            </w:hyperlink>
          </w:p>
        </w:tc>
        <w:tc>
          <w:tcPr>
            <w:tcW w:w="395" w:type="dxa"/>
            <w:tcBorders/>
            <w:shd w:fill="CCEEFF" w:val="clear"/>
            <w:vAlign w:val="center"/>
          </w:tcPr>
          <w:p>
            <w:pPr>
              <w:pStyle w:val="TableContents"/>
              <w:bidi w:val="0"/>
              <w:spacing w:before="0" w:after="0"/>
              <w:ind w:left="0" w:right="0" w:hanging="0"/>
              <w:jc w:val="center"/>
              <w:rPr/>
            </w:pPr>
            <w:hyperlink w:anchor="Item_3._Quantitative_and_Qualitative_Disclosures_About_Market_Risk">
              <w:r>
                <w:rPr>
                  <w:rStyle w:val="InternetLink"/>
                  <w:rFonts w:ascii="Times New Roman;Times;serif" w:hAnsi="Times New Roman;Times;serif"/>
                  <w:caps w:val="false"/>
                  <w:smallCaps w:val="false"/>
                  <w:sz w:val="20"/>
                  <w:u w:val="single"/>
                </w:rPr>
                <w:t>41</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4._Controls_and_Procedures">
              <w:r>
                <w:rPr>
                  <w:rStyle w:val="InternetLink"/>
                  <w:rFonts w:ascii="Times New Roman;Times;serif" w:hAnsi="Times New Roman;Times;serif"/>
                  <w:caps w:val="false"/>
                  <w:smallCaps w:val="false"/>
                  <w:sz w:val="20"/>
                </w:rPr>
                <w:t>Item 4.</w:t>
              </w:r>
            </w:hyperlink>
          </w:p>
        </w:tc>
        <w:tc>
          <w:tcPr>
            <w:tcW w:w="7280" w:type="dxa"/>
            <w:tcBorders/>
            <w:shd w:fill="FFFFFF" w:val="clear"/>
            <w:vAlign w:val="center"/>
          </w:tcPr>
          <w:p>
            <w:pPr>
              <w:pStyle w:val="TableContents"/>
              <w:bidi w:val="0"/>
              <w:spacing w:before="0" w:after="0"/>
              <w:ind w:left="0" w:right="0" w:hanging="0"/>
              <w:jc w:val="left"/>
              <w:rPr/>
            </w:pPr>
            <w:hyperlink w:anchor="Item_4._Controls_and_Procedures">
              <w:r>
                <w:rPr>
                  <w:rStyle w:val="InternetLink"/>
                  <w:rFonts w:ascii="Times New Roman;Times;serif" w:hAnsi="Times New Roman;Times;serif"/>
                  <w:caps w:val="false"/>
                  <w:smallCaps w:val="false"/>
                  <w:sz w:val="20"/>
                </w:rPr>
                <w:t>Controls and Procedures</w:t>
              </w:r>
            </w:hyperlink>
          </w:p>
        </w:tc>
        <w:tc>
          <w:tcPr>
            <w:tcW w:w="395" w:type="dxa"/>
            <w:tcBorders/>
            <w:shd w:fill="FFFFFF" w:val="clear"/>
            <w:vAlign w:val="center"/>
          </w:tcPr>
          <w:p>
            <w:pPr>
              <w:pStyle w:val="TableContents"/>
              <w:bidi w:val="0"/>
              <w:spacing w:before="0" w:after="0"/>
              <w:ind w:left="0" w:right="0" w:hanging="0"/>
              <w:jc w:val="center"/>
              <w:rPr/>
            </w:pPr>
            <w:hyperlink w:anchor="Item_4._Controls_and_Procedures">
              <w:r>
                <w:rPr>
                  <w:rStyle w:val="InternetLink"/>
                  <w:rFonts w:ascii="Times New Roman;Times;serif" w:hAnsi="Times New Roman;Times;serif"/>
                  <w:caps w:val="false"/>
                  <w:smallCaps w:val="false"/>
                  <w:sz w:val="20"/>
                  <w:u w:val="single"/>
                </w:rPr>
                <w:t>41</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r>
      <w:tr>
        <w:trPr/>
        <w:tc>
          <w:tcPr>
            <w:tcW w:w="8065" w:type="dxa"/>
            <w:gridSpan w:val="3"/>
            <w:tcBorders/>
            <w:shd w:fill="FFFFFF" w:val="clear"/>
            <w:vAlign w:val="center"/>
          </w:tcPr>
          <w:p>
            <w:pPr>
              <w:pStyle w:val="TableContents"/>
              <w:bidi w:val="0"/>
              <w:spacing w:before="0" w:after="0"/>
              <w:ind w:left="0" w:right="0" w:hanging="0"/>
              <w:jc w:val="left"/>
              <w:rPr/>
            </w:pPr>
            <w:hyperlink w:anchor="PART_IIOTHER_INFORMATION">
              <w:r>
                <w:rPr>
                  <w:rStyle w:val="InternetLink"/>
                  <w:rFonts w:ascii="Times New Roman;Times;serif" w:hAnsi="Times New Roman;Times;serif"/>
                  <w:b/>
                  <w:caps w:val="false"/>
                  <w:smallCaps w:val="false"/>
                  <w:sz w:val="20"/>
                </w:rPr>
                <w:t>PART II</w:t>
              </w:r>
            </w:hyperlink>
            <w:hyperlink w:anchor="PART_IIOTHER_INFORMATION">
              <w:r>
                <w:rPr>
                  <w:rStyle w:val="InternetLink"/>
                  <w:rFonts w:ascii="Times New Roman;Times;serif" w:hAnsi="Times New Roman;Times;serif"/>
                  <w:caps w:val="false"/>
                  <w:smallCaps w:val="false"/>
                  <w:sz w:val="20"/>
                </w:rPr>
                <w:t>—</w:t>
              </w:r>
            </w:hyperlink>
            <w:hyperlink w:anchor="PART_IIOTHER_INFORMATION">
              <w:r>
                <w:rPr>
                  <w:rStyle w:val="InternetLink"/>
                  <w:rFonts w:ascii="Times New Roman;Times;serif" w:hAnsi="Times New Roman;Times;serif"/>
                  <w:b/>
                  <w:caps w:val="false"/>
                  <w:smallCaps w:val="false"/>
                  <w:sz w:val="20"/>
                </w:rPr>
                <w:t>OTHER INFORMATION</w:t>
              </w:r>
            </w:hyperlink>
          </w:p>
        </w:tc>
        <w:tc>
          <w:tcPr>
            <w:tcW w:w="395" w:type="dxa"/>
            <w:tcBorders/>
            <w:shd w:fill="FFFFFF" w:val="clear"/>
            <w:vAlign w:val="center"/>
          </w:tcPr>
          <w:p>
            <w:pPr>
              <w:pStyle w:val="TableContents"/>
              <w:bidi w:val="0"/>
              <w:spacing w:before="0" w:after="0"/>
              <w:ind w:left="0" w:right="0" w:hanging="0"/>
              <w:jc w:val="center"/>
              <w:rPr/>
            </w:pPr>
            <w:hyperlink w:anchor="PART_IIOTHER_INFORMATION">
              <w:r>
                <w:rPr>
                  <w:rStyle w:val="InternetLink"/>
                  <w:rFonts w:ascii="Times New Roman;Times;serif" w:hAnsi="Times New Roman;Times;serif"/>
                  <w:caps w:val="false"/>
                  <w:smallCaps w:val="false"/>
                  <w:sz w:val="20"/>
                  <w:u w:val="single"/>
                </w:rPr>
                <w:t>43</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500" w:right="0" w:hanging="540"/>
              <w:jc w:val="left"/>
              <w:rPr/>
            </w:pPr>
            <w:hyperlink w:anchor="Item_1._Legal_Proceedings">
              <w:r>
                <w:rPr>
                  <w:rStyle w:val="InternetLink"/>
                  <w:rFonts w:ascii="Times New Roman;Times;serif" w:hAnsi="Times New Roman;Times;serif"/>
                  <w:caps w:val="false"/>
                  <w:smallCaps w:val="false"/>
                  <w:sz w:val="20"/>
                </w:rPr>
                <w:t>Item 1.</w:t>
              </w:r>
            </w:hyperlink>
          </w:p>
        </w:tc>
        <w:tc>
          <w:tcPr>
            <w:tcW w:w="7280" w:type="dxa"/>
            <w:tcBorders/>
            <w:shd w:fill="CCEEFF" w:val="clear"/>
            <w:vAlign w:val="center"/>
          </w:tcPr>
          <w:p>
            <w:pPr>
              <w:pStyle w:val="TableContents"/>
              <w:bidi w:val="0"/>
              <w:spacing w:before="0" w:after="0"/>
              <w:ind w:left="0" w:right="0" w:hanging="0"/>
              <w:jc w:val="left"/>
              <w:rPr/>
            </w:pPr>
            <w:hyperlink w:anchor="Item_1._Legal_Proceedings">
              <w:r>
                <w:rPr>
                  <w:rStyle w:val="InternetLink"/>
                  <w:rFonts w:ascii="Times New Roman;Times;serif" w:hAnsi="Times New Roman;Times;serif"/>
                  <w:caps w:val="false"/>
                  <w:smallCaps w:val="false"/>
                  <w:sz w:val="20"/>
                </w:rPr>
                <w:t>Legal Proceedings</w:t>
              </w:r>
            </w:hyperlink>
          </w:p>
        </w:tc>
        <w:tc>
          <w:tcPr>
            <w:tcW w:w="395" w:type="dxa"/>
            <w:tcBorders/>
            <w:shd w:fill="CCEEFF" w:val="clear"/>
            <w:vAlign w:val="center"/>
          </w:tcPr>
          <w:p>
            <w:pPr>
              <w:pStyle w:val="TableContents"/>
              <w:bidi w:val="0"/>
              <w:spacing w:before="0" w:after="0"/>
              <w:ind w:left="0" w:right="0" w:hanging="0"/>
              <w:jc w:val="center"/>
              <w:rPr/>
            </w:pPr>
            <w:hyperlink w:anchor="Item_1._Legal_Proceedings">
              <w:r>
                <w:rPr>
                  <w:rStyle w:val="InternetLink"/>
                  <w:rFonts w:ascii="Times New Roman;Times;serif" w:hAnsi="Times New Roman;Times;serif"/>
                  <w:caps w:val="false"/>
                  <w:smallCaps w:val="false"/>
                  <w:sz w:val="20"/>
                  <w:u w:val="single"/>
                </w:rPr>
                <w:t>43</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1A._Risk_Factors">
              <w:r>
                <w:rPr>
                  <w:rStyle w:val="InternetLink"/>
                  <w:rFonts w:ascii="Times New Roman;Times;serif" w:hAnsi="Times New Roman;Times;serif"/>
                  <w:caps w:val="false"/>
                  <w:smallCaps w:val="false"/>
                  <w:sz w:val="20"/>
                </w:rPr>
                <w:t>Item 1A.</w:t>
              </w:r>
            </w:hyperlink>
          </w:p>
        </w:tc>
        <w:tc>
          <w:tcPr>
            <w:tcW w:w="7280" w:type="dxa"/>
            <w:tcBorders/>
            <w:shd w:fill="FFFFFF" w:val="clear"/>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caps w:val="false"/>
                  <w:smallCaps w:val="false"/>
                  <w:sz w:val="20"/>
                </w:rPr>
                <w:t>Risk Factors</w:t>
              </w:r>
            </w:hyperlink>
          </w:p>
        </w:tc>
        <w:tc>
          <w:tcPr>
            <w:tcW w:w="395" w:type="dxa"/>
            <w:tcBorders/>
            <w:shd w:fill="FFFFFF" w:val="clear"/>
            <w:vAlign w:val="center"/>
          </w:tcPr>
          <w:p>
            <w:pPr>
              <w:pStyle w:val="TableContents"/>
              <w:bidi w:val="0"/>
              <w:spacing w:before="0" w:after="0"/>
              <w:ind w:left="0" w:right="0" w:hanging="0"/>
              <w:jc w:val="center"/>
              <w:rPr/>
            </w:pPr>
            <w:hyperlink w:anchor="Item_1A._Risk_Factors">
              <w:r>
                <w:rPr>
                  <w:rStyle w:val="InternetLink"/>
                  <w:rFonts w:ascii="Times New Roman;Times;serif" w:hAnsi="Times New Roman;Times;serif"/>
                  <w:caps w:val="false"/>
                  <w:smallCaps w:val="false"/>
                  <w:sz w:val="20"/>
                  <w:u w:val="single"/>
                </w:rPr>
                <w:t>43</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500" w:right="0" w:hanging="540"/>
              <w:jc w:val="left"/>
              <w:rPr/>
            </w:pPr>
            <w:hyperlink w:anchor="Item_2._Unregistered_Sales_of_Equity_Securities_and_Use_of_Proceeds">
              <w:r>
                <w:rPr>
                  <w:rStyle w:val="InternetLink"/>
                  <w:rFonts w:ascii="Times New Roman;Times;serif" w:hAnsi="Times New Roman;Times;serif"/>
                  <w:caps w:val="false"/>
                  <w:smallCaps w:val="false"/>
                  <w:sz w:val="20"/>
                </w:rPr>
                <w:t>Item 2.</w:t>
              </w:r>
            </w:hyperlink>
          </w:p>
        </w:tc>
        <w:tc>
          <w:tcPr>
            <w:tcW w:w="7280" w:type="dxa"/>
            <w:tcBorders/>
            <w:shd w:fill="CCEEFF" w:val="clear"/>
            <w:vAlign w:val="center"/>
          </w:tcPr>
          <w:p>
            <w:pPr>
              <w:pStyle w:val="TableContents"/>
              <w:bidi w:val="0"/>
              <w:spacing w:before="0" w:after="0"/>
              <w:ind w:left="0" w:right="0" w:hanging="0"/>
              <w:jc w:val="left"/>
              <w:rPr/>
            </w:pPr>
            <w:hyperlink w:anchor="Item_2._Unregistered_Sales_of_Equity_Securities_and_Use_of_Proceeds">
              <w:r>
                <w:rPr>
                  <w:rStyle w:val="InternetLink"/>
                  <w:rFonts w:ascii="Times New Roman;Times;serif" w:hAnsi="Times New Roman;Times;serif"/>
                  <w:caps w:val="false"/>
                  <w:smallCaps w:val="false"/>
                  <w:sz w:val="20"/>
                </w:rPr>
                <w:t>Unregistered Sales of Equity Securities and Use of Proceeds</w:t>
              </w:r>
            </w:hyperlink>
          </w:p>
        </w:tc>
        <w:tc>
          <w:tcPr>
            <w:tcW w:w="395" w:type="dxa"/>
            <w:tcBorders/>
            <w:shd w:fill="CCEEFF" w:val="clear"/>
            <w:vAlign w:val="center"/>
          </w:tcPr>
          <w:p>
            <w:pPr>
              <w:pStyle w:val="TableContents"/>
              <w:bidi w:val="0"/>
              <w:spacing w:before="0" w:after="0"/>
              <w:ind w:left="0" w:right="0" w:hanging="0"/>
              <w:jc w:val="center"/>
              <w:rPr/>
            </w:pPr>
            <w:hyperlink w:anchor="Item_2._Unregistered_Sales_of_Equity_Securities_and_Use_of_Proceeds">
              <w:r>
                <w:rPr>
                  <w:rStyle w:val="InternetLink"/>
                  <w:rFonts w:ascii="Times New Roman;Times;serif" w:hAnsi="Times New Roman;Times;serif"/>
                  <w:caps w:val="false"/>
                  <w:smallCaps w:val="false"/>
                  <w:sz w:val="20"/>
                  <w:u w:val="single"/>
                </w:rPr>
                <w:t>43</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3._Defaults_Upon_Senior_Securities">
              <w:r>
                <w:rPr>
                  <w:rStyle w:val="InternetLink"/>
                  <w:rFonts w:ascii="Times New Roman;Times;serif" w:hAnsi="Times New Roman;Times;serif"/>
                  <w:caps w:val="false"/>
                  <w:smallCaps w:val="false"/>
                  <w:sz w:val="20"/>
                </w:rPr>
                <w:t>Item 3.</w:t>
              </w:r>
            </w:hyperlink>
          </w:p>
        </w:tc>
        <w:tc>
          <w:tcPr>
            <w:tcW w:w="7280" w:type="dxa"/>
            <w:tcBorders/>
            <w:shd w:fill="FFFFFF" w:val="clear"/>
            <w:vAlign w:val="center"/>
          </w:tcPr>
          <w:p>
            <w:pPr>
              <w:pStyle w:val="TableContents"/>
              <w:bidi w:val="0"/>
              <w:spacing w:before="0" w:after="0"/>
              <w:ind w:left="0" w:right="0" w:hanging="0"/>
              <w:jc w:val="left"/>
              <w:rPr/>
            </w:pPr>
            <w:hyperlink w:anchor="Item_3._Defaults_Upon_Senior_Securities">
              <w:r>
                <w:rPr>
                  <w:rStyle w:val="InternetLink"/>
                  <w:rFonts w:ascii="Times New Roman;Times;serif" w:hAnsi="Times New Roman;Times;serif"/>
                  <w:caps w:val="false"/>
                  <w:smallCaps w:val="false"/>
                  <w:sz w:val="20"/>
                </w:rPr>
                <w:t>Defaults Upon Senior Securities</w:t>
              </w:r>
            </w:hyperlink>
          </w:p>
        </w:tc>
        <w:tc>
          <w:tcPr>
            <w:tcW w:w="395" w:type="dxa"/>
            <w:tcBorders/>
            <w:shd w:fill="FFFFFF" w:val="clear"/>
            <w:vAlign w:val="center"/>
          </w:tcPr>
          <w:p>
            <w:pPr>
              <w:pStyle w:val="TableContents"/>
              <w:bidi w:val="0"/>
              <w:spacing w:before="0" w:after="0"/>
              <w:ind w:left="0" w:right="0" w:hanging="0"/>
              <w:jc w:val="center"/>
              <w:rPr/>
            </w:pPr>
            <w:hyperlink w:anchor="Item_3._Defaults_Upon_Senior_Securities">
              <w:r>
                <w:rPr>
                  <w:rStyle w:val="InternetLink"/>
                  <w:rFonts w:ascii="Times New Roman;Times;serif" w:hAnsi="Times New Roman;Times;serif"/>
                  <w:caps w:val="false"/>
                  <w:smallCaps w:val="false"/>
                  <w:sz w:val="20"/>
                  <w:u w:val="single"/>
                </w:rPr>
                <w:t>43</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500" w:right="0" w:hanging="540"/>
              <w:jc w:val="left"/>
              <w:rPr/>
            </w:pPr>
            <w:hyperlink w:anchor="Item_4._Mine_Safety_Disclosures">
              <w:r>
                <w:rPr>
                  <w:rStyle w:val="InternetLink"/>
                  <w:rFonts w:ascii="Times New Roman;Times;serif" w:hAnsi="Times New Roman;Times;serif"/>
                  <w:caps w:val="false"/>
                  <w:smallCaps w:val="false"/>
                  <w:sz w:val="20"/>
                </w:rPr>
                <w:t>Item 4.</w:t>
              </w:r>
            </w:hyperlink>
          </w:p>
        </w:tc>
        <w:tc>
          <w:tcPr>
            <w:tcW w:w="7280" w:type="dxa"/>
            <w:tcBorders/>
            <w:shd w:fill="CCEEFF" w:val="clear"/>
            <w:vAlign w:val="center"/>
          </w:tcPr>
          <w:p>
            <w:pPr>
              <w:pStyle w:val="TableContents"/>
              <w:bidi w:val="0"/>
              <w:spacing w:before="0" w:after="0"/>
              <w:ind w:left="0" w:right="0" w:hanging="0"/>
              <w:jc w:val="left"/>
              <w:rPr/>
            </w:pPr>
            <w:hyperlink w:anchor="Item_4._Mine_Safety_Disclosures">
              <w:r>
                <w:rPr>
                  <w:rStyle w:val="InternetLink"/>
                  <w:rFonts w:ascii="Times New Roman;Times;serif" w:hAnsi="Times New Roman;Times;serif"/>
                  <w:caps w:val="false"/>
                  <w:smallCaps w:val="false"/>
                  <w:sz w:val="20"/>
                </w:rPr>
                <w:t>Mine Safety Disclosures</w:t>
              </w:r>
            </w:hyperlink>
          </w:p>
        </w:tc>
        <w:tc>
          <w:tcPr>
            <w:tcW w:w="395" w:type="dxa"/>
            <w:tcBorders/>
            <w:shd w:fill="CCEEFF" w:val="clear"/>
            <w:vAlign w:val="center"/>
          </w:tcPr>
          <w:p>
            <w:pPr>
              <w:pStyle w:val="TableContents"/>
              <w:bidi w:val="0"/>
              <w:spacing w:before="0" w:after="0"/>
              <w:ind w:left="0" w:right="0" w:hanging="0"/>
              <w:jc w:val="center"/>
              <w:rPr/>
            </w:pPr>
            <w:hyperlink w:anchor="Item_4._Mine_Safety_Disclosures">
              <w:r>
                <w:rPr>
                  <w:rStyle w:val="InternetLink"/>
                  <w:rFonts w:ascii="Times New Roman;Times;serif" w:hAnsi="Times New Roman;Times;serif"/>
                  <w:caps w:val="false"/>
                  <w:smallCaps w:val="false"/>
                  <w:sz w:val="20"/>
                  <w:u w:val="single"/>
                </w:rPr>
                <w:t>43</w:t>
              </w:r>
            </w:hyperlink>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ind w:left="500" w:right="0" w:hanging="540"/>
              <w:jc w:val="left"/>
              <w:rPr/>
            </w:pPr>
            <w:hyperlink w:anchor="Item_5._Other_Information">
              <w:r>
                <w:rPr>
                  <w:rStyle w:val="InternetLink"/>
                  <w:rFonts w:ascii="Times New Roman;Times;serif" w:hAnsi="Times New Roman;Times;serif"/>
                  <w:caps w:val="false"/>
                  <w:smallCaps w:val="false"/>
                  <w:sz w:val="20"/>
                </w:rPr>
                <w:t>Item 5.</w:t>
              </w:r>
            </w:hyperlink>
          </w:p>
        </w:tc>
        <w:tc>
          <w:tcPr>
            <w:tcW w:w="7280" w:type="dxa"/>
            <w:tcBorders/>
            <w:shd w:fill="FFFFFF" w:val="clear"/>
            <w:vAlign w:val="center"/>
          </w:tcPr>
          <w:p>
            <w:pPr>
              <w:pStyle w:val="TableContents"/>
              <w:bidi w:val="0"/>
              <w:spacing w:before="0" w:after="0"/>
              <w:ind w:left="0" w:right="0" w:hanging="0"/>
              <w:jc w:val="left"/>
              <w:rPr/>
            </w:pPr>
            <w:hyperlink w:anchor="Item_5._Other_Information">
              <w:r>
                <w:rPr>
                  <w:rStyle w:val="InternetLink"/>
                  <w:rFonts w:ascii="Times New Roman;Times;serif" w:hAnsi="Times New Roman;Times;serif"/>
                  <w:caps w:val="false"/>
                  <w:smallCaps w:val="false"/>
                  <w:sz w:val="20"/>
                </w:rPr>
                <w:t>Other Information</w:t>
              </w:r>
            </w:hyperlink>
          </w:p>
        </w:tc>
        <w:tc>
          <w:tcPr>
            <w:tcW w:w="395" w:type="dxa"/>
            <w:tcBorders/>
            <w:shd w:fill="FFFFFF" w:val="clear"/>
            <w:vAlign w:val="center"/>
          </w:tcPr>
          <w:p>
            <w:pPr>
              <w:pStyle w:val="TableContents"/>
              <w:bidi w:val="0"/>
              <w:spacing w:before="0" w:after="0"/>
              <w:ind w:left="0" w:right="0" w:hanging="0"/>
              <w:jc w:val="center"/>
              <w:rPr/>
            </w:pPr>
            <w:hyperlink w:anchor="Item_5._Other_Information">
              <w:r>
                <w:rPr>
                  <w:rStyle w:val="InternetLink"/>
                  <w:rFonts w:ascii="Times New Roman;Times;serif" w:hAnsi="Times New Roman;Times;serif"/>
                  <w:caps w:val="false"/>
                  <w:smallCaps w:val="false"/>
                  <w:sz w:val="20"/>
                  <w:u w:val="single"/>
                </w:rPr>
                <w:t>43</w:t>
              </w:r>
            </w:hyperlink>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500" w:right="0" w:hanging="540"/>
              <w:jc w:val="left"/>
              <w:rPr/>
            </w:pPr>
            <w:hyperlink w:anchor="Item_6._Exhibits">
              <w:r>
                <w:rPr>
                  <w:rStyle w:val="InternetLink"/>
                  <w:rFonts w:ascii="Times New Roman;Times;serif" w:hAnsi="Times New Roman;Times;serif"/>
                  <w:caps w:val="false"/>
                  <w:smallCaps w:val="false"/>
                  <w:sz w:val="20"/>
                </w:rPr>
                <w:t>Item 6.</w:t>
              </w:r>
            </w:hyperlink>
          </w:p>
        </w:tc>
        <w:tc>
          <w:tcPr>
            <w:tcW w:w="7280"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caps w:val="false"/>
                  <w:smallCaps w:val="false"/>
                  <w:sz w:val="20"/>
                </w:rPr>
                <w:t>Exhibits</w:t>
              </w:r>
            </w:hyperlink>
          </w:p>
        </w:tc>
        <w:tc>
          <w:tcPr>
            <w:tcW w:w="395" w:type="dxa"/>
            <w:tcBorders/>
            <w:shd w:fill="CCEEFF" w:val="clear"/>
            <w:vAlign w:val="center"/>
          </w:tcPr>
          <w:p>
            <w:pPr>
              <w:pStyle w:val="TableContents"/>
              <w:bidi w:val="0"/>
              <w:spacing w:before="0" w:after="0"/>
              <w:ind w:left="0" w:right="0" w:hanging="0"/>
              <w:jc w:val="center"/>
              <w:rPr/>
            </w:pPr>
            <w:hyperlink w:anchor="Item_6._Exhibits">
              <w:r>
                <w:rPr>
                  <w:rStyle w:val="InternetLink"/>
                  <w:rFonts w:ascii="Times New Roman;Times;serif" w:hAnsi="Times New Roman;Times;serif"/>
                  <w:caps w:val="false"/>
                  <w:smallCaps w:val="false"/>
                  <w:sz w:val="20"/>
                  <w:u w:val="single"/>
                </w:rPr>
                <w:t>44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Certain statements in this Quarterly Report on Form 10-Q (“Quarterly Report”)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financial performance, including our ability to continue as a going concern;</w:t>
            </w:r>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raise additional funding;</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likelihood of commercial success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4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obtain and maintain regulatory approvals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size and growth potential of the markets for our drug candidates, and our ability to serve those markets, either alone or in combination with others;</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market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expansion plans and opportunities; and</w:t>
            </w:r>
          </w:p>
        </w:tc>
      </w:tr>
    </w:tbl>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other statements that address events or developments that we intend or believe will or may occur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These forward-looking statements represent our views as of the date of this Quarterly Report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50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substantial dependence on the successful commercialization of our drug candidates, if approved, in the future;</w:t>
            </w:r>
          </w:p>
        </w:tc>
      </w:tr>
    </w:tbl>
    <w:p>
      <w:pPr>
        <w:pStyle w:val="TextBody"/>
        <w:bidi w:val="0"/>
        <w:spacing w:before="0" w:after="0"/>
        <w:ind w:left="0" w:right="0" w:firstLine="50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significant net losses and net operating cash outflows;</w:t>
            </w:r>
          </w:p>
        </w:tc>
      </w:tr>
    </w:tbl>
    <w:p>
      <w:pPr>
        <w:pStyle w:val="TextBody"/>
        <w:bidi w:val="0"/>
        <w:spacing w:before="0" w:after="0"/>
        <w:ind w:left="0" w:right="0" w:firstLine="50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demonstrate the efficacy and safety of our drug candidates;</w:t>
            </w:r>
          </w:p>
        </w:tc>
      </w:tr>
    </w:tbl>
    <w:p>
      <w:pPr>
        <w:pStyle w:val="TextBody"/>
        <w:bidi w:val="0"/>
        <w:spacing w:before="0" w:after="0"/>
        <w:ind w:left="0" w:right="0" w:firstLine="50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for our drug candidates, which may not support further development or marketing approval;</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actions of regulatory agencies, which may affect the initiation, timing, and progress of clinical trials and marketing approval;</w:t>
            </w:r>
          </w:p>
        </w:tc>
      </w:tr>
    </w:tbl>
    <w:p>
      <w:pPr>
        <w:pStyle w:val="TextBody"/>
        <w:bidi w:val="0"/>
        <w:spacing w:before="0" w:after="0"/>
        <w:ind w:left="0" w:right="0" w:firstLine="50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achieve commercial success for our drug candidates, if approved;</w:t>
            </w:r>
          </w:p>
        </w:tc>
      </w:tr>
    </w:tbl>
    <w:p>
      <w:pPr>
        <w:pStyle w:val="TextBody"/>
        <w:bidi w:val="0"/>
        <w:spacing w:before="0" w:after="0"/>
        <w:ind w:left="0" w:right="0" w:firstLine="50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obtain and maintain protection of intellectual property for our technology and drug candidates;</w:t>
            </w:r>
          </w:p>
        </w:tc>
      </w:tr>
    </w:tbl>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reliance on third parties to conduct research, drug development, and other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limited operating history and our ability to obtain additional funding for operations and to complete the licensing or development and commercialization of our drug candidates;</w:t>
            </w:r>
          </w:p>
        </w:tc>
      </w:tr>
    </w:tbl>
    <w:p>
      <w:pPr>
        <w:pStyle w:val="TextBody"/>
        <w:bidi w:val="0"/>
        <w:spacing w:before="0" w:after="0"/>
        <w:ind w:left="0" w:right="0" w:firstLine="50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8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any future epidemics, pandemics, or conflicts;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0" w:right="0" w:firstLine="50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inflation;</w:t>
            </w:r>
          </w:p>
        </w:tc>
      </w:tr>
    </w:tbl>
    <w:p>
      <w:pPr>
        <w:pStyle w:val="TextBody"/>
        <w:bidi w:val="0"/>
        <w:spacing w:before="0" w:after="0"/>
        <w:ind w:left="0" w:right="0" w:firstLine="50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staffing and materials shortages;</w:t>
            </w:r>
          </w:p>
        </w:tc>
      </w:tr>
    </w:tbl>
    <w:p>
      <w:pPr>
        <w:pStyle w:val="TextBody"/>
        <w:bidi w:val="0"/>
        <w:spacing w:before="0" w:after="0"/>
        <w:ind w:left="0" w:right="0" w:firstLine="50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risks and uncertainties set forth in the section entitled “</w:t>
            </w:r>
            <w:r>
              <w:rPr>
                <w:rFonts w:ascii="Times New Roman;Times;serif" w:hAnsi="Times New Roman;Times;serif"/>
                <w:i/>
                <w:sz w:val="20"/>
              </w:rPr>
              <w:t>Risk Factors</w:t>
            </w:r>
            <w:r>
              <w:rPr>
                <w:rFonts w:ascii="Times New Roman;Times;serif" w:hAnsi="Times New Roman;Times;serif"/>
                <w:sz w:val="20"/>
              </w:rPr>
              <w:t>” in our most recent Annual Report on Form 10-K and any subsequent Quarterly Reports on Form 10-Q.</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iii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ART_IFINANCIAL_INFORMATION"/>
      <w:bookmarkEnd w:id="3"/>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Item_1._Financial_Statements"/>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5" w:name="BALANCE_SHEETS"/>
      <w:bookmarkEnd w:id="5"/>
      <w:r>
        <w:rPr>
          <w:rFonts w:ascii="Times New Roman" w:hAnsi="Times New Roman"/>
          <w:b/>
          <w:caps w:val="false"/>
          <w:smallCaps w:val="false"/>
          <w:sz w:val="20"/>
        </w:rPr>
        <w:t>CLENE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8107"/>
        <w:gridCol w:w="60"/>
        <w:gridCol w:w="125"/>
        <w:gridCol w:w="755"/>
        <w:gridCol w:w="80"/>
        <w:gridCol w:w="60"/>
        <w:gridCol w:w="133"/>
        <w:gridCol w:w="804"/>
        <w:gridCol w:w="81"/>
      </w:tblGrid>
      <w:tr>
        <w:trPr/>
        <w:tc>
          <w:tcPr>
            <w:tcW w:w="8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3,751</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8,977</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3,073</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6,023</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18,131</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obligations,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Notes payable,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notes payable,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2,378</w:t>
            </w:r>
          </w:p>
        </w:tc>
        <w:tc>
          <w:tcPr>
            <w:tcW w:w="81" w:type="dxa"/>
            <w:tcBorders/>
            <w:shd w:fill="CCEEFF" w:val="clear"/>
            <w:vAlign w:val="center"/>
          </w:tcPr>
          <w:p>
            <w:pPr>
              <w:pStyle w:val="TableContents"/>
              <w:bidi w:val="0"/>
              <w:spacing w:before="0" w:after="0"/>
              <w:jc w:val="left"/>
              <w:rPr/>
            </w:pPr>
            <w:r>
              <w:rPr/>
              <w:t> </w:t>
            </w:r>
          </w:p>
        </w:tc>
      </w:tr>
      <w:tr>
        <w:trPr/>
        <w:tc>
          <w:tcPr>
            <w:tcW w:w="81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10,776</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3,250</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Notes payable,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Convertible notes payable,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5,063</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Derivative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35,723</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600,000,000 shares authorized; 12,778,307 and 10,849,974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1" w:type="dxa"/>
            <w:tcBorders/>
            <w:shd w:fill="CCEEFF" w:val="clear"/>
            <w:vAlign w:val="center"/>
          </w:tcPr>
          <w:p>
            <w:pPr>
              <w:pStyle w:val="TableContents"/>
              <w:bidi w:val="0"/>
              <w:spacing w:before="0" w:after="283"/>
              <w:jc w:val="left"/>
              <w:rPr/>
            </w:pPr>
            <w:r>
              <w:rPr/>
              <w:t> </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290,531</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(308,296</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0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81" w:type="dxa"/>
            <w:tcBorders/>
            <w:shd w:fill="FFFFFF" w:val="clear"/>
            <w:vAlign w:val="center"/>
          </w:tcPr>
          <w:p>
            <w:pPr>
              <w:pStyle w:val="TableContents"/>
              <w:bidi w:val="0"/>
              <w:spacing w:before="0" w:after="283"/>
              <w:jc w:val="left"/>
              <w:rPr/>
            </w:pPr>
            <w:r>
              <w:rPr/>
              <w:t> </w:t>
            </w:r>
          </w:p>
        </w:tc>
      </w:tr>
      <w:tr>
        <w:trPr/>
        <w:tc>
          <w:tcPr>
            <w:tcW w:w="810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(17,592</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0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18,131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condensed consolidated financial statements.</w:t>
      </w:r>
    </w:p>
    <w:p>
      <w:pPr>
        <w:pStyle w:val="TextBody"/>
        <w:bidi w:val="0"/>
        <w:spacing w:before="0" w:after="0"/>
        <w:ind w:left="0" w:right="0" w:hanging="0"/>
        <w:jc w:val="center"/>
        <w:rPr/>
      </w:pPr>
      <w:r>
        <w:rPr/>
        <w:t xml:space="preserve">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6" w:name="INCOME_STATEMENT"/>
      <w:bookmarkEnd w:id="6"/>
      <w:r>
        <w:rPr>
          <w:rFonts w:ascii="Times New Roman" w:hAnsi="Times New Roman"/>
          <w:b/>
          <w:caps w:val="false"/>
          <w:smallCaps w:val="false"/>
          <w:sz w:val="20"/>
        </w:rPr>
        <w:t>CLENE INC.</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5555"/>
        <w:gridCol w:w="60"/>
        <w:gridCol w:w="125"/>
        <w:gridCol w:w="950"/>
        <w:gridCol w:w="80"/>
        <w:gridCol w:w="60"/>
        <w:gridCol w:w="125"/>
        <w:gridCol w:w="845"/>
        <w:gridCol w:w="80"/>
        <w:gridCol w:w="60"/>
        <w:gridCol w:w="125"/>
        <w:gridCol w:w="950"/>
        <w:gridCol w:w="80"/>
        <w:gridCol w:w="60"/>
        <w:gridCol w:w="125"/>
        <w:gridCol w:w="845"/>
        <w:gridCol w:w="80"/>
      </w:tblGrid>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950" w:type="dxa"/>
            <w:tcBorders/>
            <w:shd w:fill="FFFFFF" w:val="clear"/>
            <w:vAlign w:val="center"/>
          </w:tcPr>
          <w:p>
            <w:pPr>
              <w:pStyle w:val="TableContents"/>
              <w:bidi w:val="0"/>
              <w:spacing w:before="0" w:after="283"/>
              <w:ind w:left="0" w:right="0" w:hanging="0"/>
              <w:jc w:val="right"/>
              <w:rPr>
                <w:sz w:val="20"/>
              </w:rPr>
            </w:pPr>
            <w:r>
              <w:rPr>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950" w:type="dxa"/>
            <w:tcBorders/>
            <w:shd w:fill="FFFFFF" w:val="clear"/>
            <w:vAlign w:val="center"/>
          </w:tcPr>
          <w:p>
            <w:pPr>
              <w:pStyle w:val="TableContents"/>
              <w:bidi w:val="0"/>
              <w:spacing w:before="0" w:after="283"/>
              <w:ind w:left="0" w:right="0" w:hanging="0"/>
              <w:jc w:val="right"/>
              <w:rPr>
                <w:sz w:val="20"/>
              </w:rPr>
            </w:pPr>
            <w:r>
              <w:rPr>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65</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108</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3,514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3,800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4,995</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5,033</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10,048</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(5,347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(5,864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(7,408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(9,940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143</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(695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(679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(1,486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(1,287</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 for common stock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(393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initial issuance of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(4,582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common stock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(4,132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(515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(5,192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1,995</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(3,333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(439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sz w:val="20"/>
              </w:rPr>
            </w:pPr>
            <w:r>
              <w:rPr>
                <w:sz w:val="20"/>
              </w:rPr>
              <w:t>(2,620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708</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tax credits and unrestricted grants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211</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(8,077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(1,555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(14,107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1,770</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(13,424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(7,419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(21,515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(8,170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(13,424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(7,419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(21,515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(8,170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5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78</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78</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(13,432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(21,479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(8,092</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950" w:type="dxa"/>
            <w:tcBorders/>
            <w:shd w:fill="CCEEFF" w:val="clear"/>
            <w:vAlign w:val="center"/>
          </w:tcPr>
          <w:p>
            <w:pPr>
              <w:pStyle w:val="TableContents"/>
              <w:bidi w:val="0"/>
              <w:spacing w:before="0" w:after="283"/>
              <w:ind w:left="0" w:right="0" w:hanging="0"/>
              <w:jc w:val="right"/>
              <w:rPr>
                <w:sz w:val="20"/>
              </w:rPr>
            </w:pPr>
            <w:r>
              <w:rPr>
                <w:sz w:val="20"/>
              </w:rPr>
              <w:t>(1.08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(0.78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950" w:type="dxa"/>
            <w:tcBorders/>
            <w:shd w:fill="CCEEFF" w:val="clear"/>
            <w:vAlign w:val="center"/>
          </w:tcPr>
          <w:p>
            <w:pPr>
              <w:pStyle w:val="TableContents"/>
              <w:bidi w:val="0"/>
              <w:spacing w:before="0" w:after="283"/>
              <w:ind w:left="0" w:right="0" w:hanging="0"/>
              <w:jc w:val="right"/>
              <w:rPr>
                <w:sz w:val="20"/>
              </w:rPr>
            </w:pPr>
            <w:r>
              <w:rPr>
                <w:sz w:val="20"/>
              </w:rPr>
              <w:t>(1.79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(0.89</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12,382,702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9,523,592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12,015,498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9,176,063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7" w:name="STATEMENTS_OF_STOCKHOLDERS_EQUITY"/>
      <w:bookmarkEnd w:id="7"/>
      <w:r>
        <w:rPr>
          <w:rFonts w:ascii="Times New Roman" w:hAnsi="Times New Roman"/>
          <w:b/>
          <w:caps w:val="false"/>
          <w:smallCaps w:val="false"/>
          <w:sz w:val="20"/>
        </w:rPr>
        <w:t>CLENE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STOCKHOLDERS’ DEFICIT</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2312"/>
        <w:gridCol w:w="60"/>
        <w:gridCol w:w="60"/>
        <w:gridCol w:w="950"/>
        <w:gridCol w:w="60"/>
        <w:gridCol w:w="60"/>
        <w:gridCol w:w="186"/>
        <w:gridCol w:w="389"/>
        <w:gridCol w:w="60"/>
        <w:gridCol w:w="60"/>
        <w:gridCol w:w="187"/>
        <w:gridCol w:w="1042"/>
        <w:gridCol w:w="60"/>
        <w:gridCol w:w="60"/>
        <w:gridCol w:w="159"/>
        <w:gridCol w:w="970"/>
        <w:gridCol w:w="80"/>
        <w:gridCol w:w="60"/>
        <w:gridCol w:w="496"/>
        <w:gridCol w:w="1337"/>
        <w:gridCol w:w="80"/>
        <w:gridCol w:w="60"/>
        <w:gridCol w:w="214"/>
        <w:gridCol w:w="1119"/>
        <w:gridCol w:w="84"/>
      </w:tblGrid>
      <w:tr>
        <w:trPr/>
        <w:tc>
          <w:tcPr>
            <w:tcW w:w="23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9" w:type="dxa"/>
            <w:gridSpan w:val="2"/>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3" w:type="dxa"/>
            <w:gridSpan w:val="2"/>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 Other Comprehensive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 Stockholders’ Deficit</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9" w:type="dxa"/>
            <w:gridSpan w:val="2"/>
            <w:vMerge w:val="continue"/>
            <w:tcBorders>
              <w:bottom w:val="single" w:sz="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rStyle w:val="Emphasis"/>
              </w:rPr>
              <w:t> </w:t>
            </w:r>
          </w:p>
        </w:tc>
        <w:tc>
          <w:tcPr>
            <w:tcW w:w="1129" w:type="dxa"/>
            <w:gridSpan w:val="2"/>
            <w:vMerge w:val="continue"/>
            <w:tcBorders>
              <w:bottom w:val="single" w:sz="2" w:space="0" w:color="000000"/>
            </w:tcBorders>
            <w:shd w:fill="FFFFFF" w:val="clear"/>
            <w:tcMar>
              <w:bottom w:w="28" w:type="dxa"/>
            </w:tcMar>
            <w:vAlign w:val="center"/>
          </w:tcPr>
          <w:p>
            <w:pPr>
              <w:pStyle w:val="Normal"/>
              <w:bidi w:val="0"/>
              <w:jc w:val="left"/>
              <w:rPr/>
            </w:pPr>
            <w:r>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3" w:type="dxa"/>
            <w:gridSpan w:val="2"/>
            <w:vMerge w:val="continue"/>
            <w:tcBorders>
              <w:bottom w:val="single" w:sz="2" w:space="0" w:color="000000"/>
            </w:tcBorders>
            <w:shd w:fill="FFFFFF" w:val="clear"/>
            <w:tcMar>
              <w:bottom w:w="28" w:type="dxa"/>
            </w:tcMar>
            <w:vAlign w:val="center"/>
          </w:tcPr>
          <w:p>
            <w:pPr>
              <w:pStyle w:val="Normal"/>
              <w:bidi w:val="0"/>
              <w:jc w:val="left"/>
              <w:rPr/>
            </w:pPr>
            <w:r>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rStyle w:val="Emphasis"/>
              </w:rPr>
              <w:t> </w:t>
            </w:r>
          </w:p>
        </w:tc>
        <w:tc>
          <w:tcPr>
            <w:tcW w:w="1333" w:type="dxa"/>
            <w:gridSpan w:val="2"/>
            <w:vMerge w:val="continue"/>
            <w:tcBorders>
              <w:bottom w:val="single" w:sz="2" w:space="0" w:color="000000"/>
            </w:tcBorders>
            <w:shd w:fill="FFFFFF" w:val="clear"/>
            <w:tcMar>
              <w:bottom w:w="28" w:type="dxa"/>
            </w:tcMar>
            <w:vAlign w:val="center"/>
          </w:tcPr>
          <w:p>
            <w:pPr>
              <w:pStyle w:val="Normal"/>
              <w:bidi w:val="0"/>
              <w:jc w:val="left"/>
              <w:rPr/>
            </w:pPr>
            <w:r>
              <w:rPr/>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10,849,974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(17,592</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FFFF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4,418</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1,312</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stock options as payment of bonus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(8,091</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11,778,307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(316,387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(18,806</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10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left"/>
              <w:rPr/>
            </w:pPr>
            <w:r>
              <w:rPr/>
              <w:t> </w:t>
            </w:r>
          </w:p>
        </w:tc>
        <w:tc>
          <w:tcPr>
            <w:tcW w:w="133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shd w:fill="FFFFFF" w:val="clear"/>
            <w:vAlign w:val="center"/>
          </w:tcPr>
          <w:p>
            <w:pPr>
              <w:pStyle w:val="TableContents"/>
              <w:bidi w:val="0"/>
              <w:spacing w:before="0" w:after="0"/>
              <w:ind w:left="0" w:right="0" w:hanging="0"/>
              <w:jc w:val="left"/>
              <w:rPr/>
            </w:pPr>
            <w:r>
              <w:rPr/>
              <w:t> </w:t>
            </w:r>
          </w:p>
        </w:tc>
        <w:tc>
          <w:tcPr>
            <w:tcW w:w="11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6,421</w:t>
            </w:r>
          </w:p>
        </w:tc>
        <w:tc>
          <w:tcPr>
            <w:tcW w:w="84" w:type="dxa"/>
            <w:tcBorders/>
            <w:shd w:fill="FFFFFF" w:val="clear"/>
            <w:vAlign w:val="center"/>
          </w:tcPr>
          <w:p>
            <w:pPr>
              <w:pStyle w:val="TableContents"/>
              <w:bidi w:val="0"/>
              <w:spacing w:before="0" w:after="0"/>
              <w:jc w:val="left"/>
              <w:rPr/>
            </w:pPr>
            <w:r>
              <w:rPr/>
              <w:t> </w:t>
            </w:r>
          </w:p>
        </w:tc>
      </w:tr>
      <w:tr>
        <w:trPr/>
        <w:tc>
          <w:tcPr>
            <w:tcW w:w="231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(13,424</w:t>
            </w:r>
          </w:p>
        </w:tc>
        <w:tc>
          <w:tcPr>
            <w:tcW w:w="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12,778,307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304,825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(329,811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(24,777</w:t>
            </w:r>
          </w:p>
        </w:tc>
        <w:tc>
          <w:tcPr>
            <w:tcW w:w="8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8,089,565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(282,123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578,205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2,673</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1,947</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8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8,667,770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(282,874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(4,973</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794,301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2,412</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1,367</w:t>
            </w:r>
          </w:p>
        </w:tc>
        <w:tc>
          <w:tcPr>
            <w:tcW w:w="84" w:type="dxa"/>
            <w:tcBorders/>
            <w:shd w:fill="CCEEFF" w:val="clear"/>
            <w:vAlign w:val="center"/>
          </w:tcPr>
          <w:p>
            <w:pPr>
              <w:pStyle w:val="TableContents"/>
              <w:bidi w:val="0"/>
              <w:spacing w:before="0" w:after="283"/>
              <w:jc w:val="left"/>
              <w:rPr/>
            </w:pPr>
            <w:r>
              <w:rPr/>
              <w:t> </w:t>
            </w:r>
          </w:p>
        </w:tc>
      </w:tr>
      <w:tr>
        <w:trPr/>
        <w:tc>
          <w:tcPr>
            <w:tcW w:w="231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w:t>
            </w:r>
          </w:p>
        </w:tc>
        <w:tc>
          <w:tcPr>
            <w:tcW w:w="84" w:type="dxa"/>
            <w:tcBorders/>
            <w:shd w:fill="FFFFFF" w:val="clear"/>
            <w:vAlign w:val="center"/>
          </w:tcPr>
          <w:p>
            <w:pPr>
              <w:pStyle w:val="TableContents"/>
              <w:bidi w:val="0"/>
              <w:spacing w:before="0" w:after="283"/>
              <w:jc w:val="left"/>
              <w:rPr/>
            </w:pPr>
            <w:r>
              <w:rPr/>
              <w:t> </w:t>
            </w:r>
          </w:p>
        </w:tc>
      </w:tr>
      <w:tr>
        <w:trPr/>
        <w:tc>
          <w:tcPr>
            <w:tcW w:w="2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(7,419</w:t>
            </w:r>
          </w:p>
        </w:tc>
        <w:tc>
          <w:tcPr>
            <w:tcW w:w="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9,462,071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281,593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(290,293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(8,550</w:t>
            </w:r>
          </w:p>
        </w:tc>
        <w:tc>
          <w:tcPr>
            <w:tcW w:w="8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8" w:name="STATEMENTS_OF_CASH_FLOWS"/>
      <w:bookmarkEnd w:id="8"/>
      <w:r>
        <w:rPr>
          <w:rFonts w:ascii="Times New Roman" w:hAnsi="Times New Roman"/>
          <w:b/>
          <w:caps w:val="false"/>
          <w:smallCaps w:val="false"/>
          <w:sz w:val="20"/>
        </w:rPr>
        <w:t>CLENE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w:t>
      </w:r>
    </w:p>
    <w:tbl>
      <w:tblPr>
        <w:tblW w:w="9823" w:type="dxa"/>
        <w:jc w:val="left"/>
        <w:tblInd w:w="0" w:type="dxa"/>
        <w:tblLayout w:type="fixed"/>
        <w:tblCellMar>
          <w:top w:w="0" w:type="dxa"/>
          <w:left w:w="0" w:type="dxa"/>
          <w:bottom w:w="0" w:type="dxa"/>
          <w:right w:w="0" w:type="dxa"/>
        </w:tblCellMar>
      </w:tblPr>
      <w:tblGrid>
        <w:gridCol w:w="7715"/>
        <w:gridCol w:w="60"/>
        <w:gridCol w:w="151"/>
        <w:gridCol w:w="785"/>
        <w:gridCol w:w="96"/>
        <w:gridCol w:w="72"/>
        <w:gridCol w:w="151"/>
        <w:gridCol w:w="713"/>
        <w:gridCol w:w="80"/>
      </w:tblGrid>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(21,515</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costs for common stock warrant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1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initial issuance of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as payment of outstanding indebtedness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common stock 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2,620</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(708</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3,314</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debt discount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expense on notes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net of offering costs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11,745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4,977</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Payments of notes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w:t>
            </w:r>
          </w:p>
        </w:tc>
        <w:tc>
          <w:tcPr>
            <w:tcW w:w="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11,563</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4,806</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rate changes on cash and 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12,213</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7,343</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cash, cash equivalents and restricted cash to the consolidated balance sheets: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9,671</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7,285</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9,729</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7,343</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 of non-cash investing and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 liability recorded upon public stock offering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stock options as payment of bonus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1,103</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as payment of outstanding indebtedness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w:t>
            </w:r>
          </w:p>
        </w:tc>
        <w:tc>
          <w:tcPr>
            <w:tcW w:w="8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bookmarkStart w:id="9" w:name="NOTES_TO_THE_FINANCIAL_STATEMENTS"/>
      <w:bookmarkEnd w:id="9"/>
      <w:r>
        <w:rPr>
          <w:rFonts w:ascii="Times New Roman" w:hAnsi="Times New Roman"/>
          <w:b/>
          <w:caps w:val="false"/>
          <w:smallCaps w:val="false"/>
          <w:sz w:val="20"/>
        </w:rPr>
        <w:t>CLENE INC.</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Clene Inc. (the “Company,” “we,” “us,” or similar such references) is a clinical-stage pharmaceutical company pioneering the discovery, development, and commercialization of novel clean-surfaced nanotechnology therapeutics. We have developed an electro-crystal-chemistry drug development platform that enables production of concentrated, stable, highly active, clean-surfaced nanocrystal suspensions. We have multiple drug assets currently in development for applications primarily in neurology. Our efforts are currently focused on addressing the high unmet medical needs in central nervous system disorders including amyotrophic lateral sclerosis (“ALS”), multiple sclerosis (“MS”), and Parkinson’s disease (“PD”). Our patented electro-crystal-chemistry manufacturing platform further enables us to develop very low concentration dietary supplements to advance the health and well-being of broad populations. These dietary supplements can vary greatly and include nanocrystals of varying composition, shapes and sizes as well as ionic solutions with diverse metallic constituents. Dietary supplements are marketed and distributed through our wholly-owned subsidiary, dOrbital, Inc., or through </w:t>
      </w:r>
      <w:r>
        <w:rPr>
          <w:rStyle w:val="Emphasis"/>
          <w:rFonts w:ascii="Times New Roman;Times;serif" w:hAnsi="Times New Roman;Times;serif"/>
          <w:caps w:val="false"/>
          <w:smallCaps w:val="false"/>
          <w:sz w:val="20"/>
        </w:rPr>
        <w:t>4Life</w:t>
      </w:r>
      <w:r>
        <w:rPr>
          <w:rFonts w:ascii="Times New Roman;Times;serif" w:hAnsi="Times New Roman;Times;serif"/>
          <w:caps w:val="false"/>
          <w:smallCaps w:val="false"/>
          <w:sz w:val="20"/>
        </w:rPr>
        <w:t xml:space="preserve"> Research LLC (</w:t>
      </w:r>
      <w:r>
        <w:rPr>
          <w:rStyle w:val="Emphasis"/>
          <w:rFonts w:ascii="Times New Roman;Times;serif" w:hAnsi="Times New Roman;Times;serif"/>
          <w:caps w:val="false"/>
          <w:smallCaps w:val="false"/>
          <w:sz w:val="20"/>
        </w:rPr>
        <w:t>“4Life”</w:t>
      </w:r>
      <w:r>
        <w:rPr>
          <w:rFonts w:ascii="Times New Roman;Times;serif" w:hAnsi="Times New Roman;Times;serif"/>
          <w:caps w:val="false"/>
          <w:smallCaps w:val="false"/>
          <w:sz w:val="20"/>
        </w:rPr>
        <w:t xml:space="preserve">), a related party (see Note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and Note </w:t>
      </w:r>
      <w:r>
        <w:rPr>
          <w:rStyle w:val="Emphasis"/>
          <w:rFonts w:ascii="Times New Roman;Times;serif" w:hAnsi="Times New Roman;Times;serif"/>
          <w:caps w:val="false"/>
          <w:smallCaps w:val="false"/>
          <w:sz w:val="20"/>
        </w:rPr>
        <w:t>15</w:t>
      </w:r>
      <w:r>
        <w:rPr>
          <w:rFonts w:ascii="Times New Roman;Times;serif" w:hAnsi="Times New Roman;Times;serif"/>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We incurred a loss from operations of $5.3 million and $5.9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$7.4 million and $9.9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Our accumulated deficit was $329.8 million and $308.3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Our cash and cash equivalents totaled $9.7 million and $5.2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and net cash used in operating activities was $7.1 million and $9.8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have incurred significant losses and negative cash flows from operations since our inception.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generated significant revenue since our inception, and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generating significant revenue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sufficient cash and other resources on hand to sustain our current operations or meet our obligations as they become due unless we obtain additional financing. Additionally, pursuant to our senior secured convertible promissory notes issued in </w:t>
      </w:r>
      <w:r>
        <w:rPr>
          <w:rStyle w:val="Emphasis"/>
          <w:rFonts w:ascii="Times New Roman" w:hAnsi="Times New Roman"/>
          <w:caps w:val="false"/>
          <w:smallCaps w:val="false"/>
          <w:sz w:val="20"/>
        </w:rPr>
        <w:t>December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SSCP Notes”), we are required to maintain unrestricted cash and cash equivalents of at least $2.0 million to avoid acceleration of the full balance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SSCP Notes (see Note </w:t>
      </w:r>
      <w:r>
        <w:rPr>
          <w:rStyle w:val="Emphasis"/>
          <w:rFonts w:ascii="Times New Roman" w:hAnsi="Times New Roman"/>
          <w:caps w:val="false"/>
          <w:smallCaps w:val="false"/>
          <w:sz w:val="20"/>
        </w:rPr>
        <w:t>8</w:t>
      </w:r>
      <w:r>
        <w:rPr>
          <w:rFonts w:ascii="Times New Roman" w:hAnsi="Times New Roman"/>
          <w:caps w:val="false"/>
          <w:smallCaps w:val="false"/>
          <w:sz w:val="20"/>
        </w:rPr>
        <w:t>). These conditions raise substantial doubt about the Company’s ability to continue as a going concern.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To mitigate our funding needs, we plan to raise additional funding, including exploring equity financing and offerings, debt financing, licensing or collaboration arrangements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as well as utilizing our existing at-the-market facility and potential proceeds from the exercise of outstanding warrants and stock options. These plans are subject to market conditions and reliance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and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effective implementation of our plans will result in the necessary funding to continue current operations.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raised $7.0 million and $13.0 million, respectively, of gross proceeds from registered direct offerings of equity securities (see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While we have implemented cost-saving initiatives, including delaying and reducing certain research and development programs and commercialization efforts, reducing employee compensation, and eliminating certain staff positions, we have concluded that our plans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alleviate the substantial doubt about our ability to continue as a going concern beyond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the condensed consolidated financial statements are issued.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accompanying condensed consolidated financial statements have been prepared assuming we will continue as a going concern, which contemplates the realization of assets and satisfaction of liabilities in the normal course of business. As a result, the accompanying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assets and their carrying amounts, or the amounts and classification of liabilities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should we be unable to continue as a going concern.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5</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accompanying condensed consolidated financial statements include the accounts of Clene Inc. and our wholly-owned subsidiaries, Clene Nanomedicine, Inc. (“Clene Nanomedicine”), a subsidiary incorporated in Delaware, Clene Australia Pty Ltd (“Clene Australia”), a subsidiary incorporated in Australia, Clene Netherlands B.V. (“Clene Netherlands”), a subsidiary incorporated in the Netherlands, and dOrbital, Inc., a subsidiary incorporated in Delaware, after elimination of all intercompany accounts and transactions. We have prepared the accompanying condensed consolidated financial statements in accordance with United States (“U.S.”) Generally Accepted Accounting Principles (“GAAP”) for interim financial reporting and as required by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Rule </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The condensed consolidated financial statements have been prepared on the same basis as our audited annual consolidated financial statements and, in the opinion of management, reflect all adjustments, which are normal and recurring in nature, necessary for fair financial statement presentation. The financial data and other information disclosed in the condensed consolidated financial statements and related notes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unaudited.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for the entire fiscal year or any other period. The condensed consolidated financial statements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should be read in conjunction with the audited consolidated financial statements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preparation of condensed consolidated financial statements in conformity with GAAP requires management to make estimates and assumptions that affect the reported amounts of assets, liabilities, and disclosure of contingent assets and liabilities, and the reported amounts of expenses. We base our estimates on historical experience and various other assumptions that we believe to be reasonable.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those estimates or assumptions. Estimates are periodically reviewed in light of changes in circumstances, facts, and experience, and any changes in estimates will be recorded in future periods as they develop.</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are subject to certain risks and uncertainties and believe that changes in any of the following areas could have a material adverse effect on future financial condition, results of operations, or cash flows: ability to obtain additional financing; regulatory approval and market acceptance of, and reimbursement for, product candidates; performance of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 research organizations (“CROs”) and clinical vendors upon which we rely; protection of our intellectual property; litigation or claims against us based on intellectual property, patent, product, regulatory, or other factors; and our ability to attract and retain employees necessary to support our growth. The product candidates we develop require approvals from regulatory agencies prior to commercial sales.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our current and future product candidates will receive the necessary approvals or be commercially successful. If we are denied approval or approval is delayed, it will have a material adverse impact on our business and our condensed consolidated financial statements.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Financial instruments that potentially subject us to significant concentrations of credit risk consist primarily of cash. Our cash is held in financial institutions and amounts on deposit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times exceed federally insured limits.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our deposits of cash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we are subject to unusual credit risk beyond the normal credit risk associated with commercial banking relationships.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consider all short-term investments with original maturities of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less when purchased to be cash equivalents.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classify cash as restricted when it is unavailable for withdrawal or use in our general operating activities. Restricted cash is classified as current and noncurrent on the condensed consolidated balance sheets based on the nature of the restriction. Our restricted cash balance includes contractually restricted deposits related to our corporate credit card.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center"/>
        <w:rPr/>
      </w:pPr>
      <w:r>
        <w:rPr>
          <w:rStyle w:val="Emphasis"/>
          <w:rFonts w:ascii="Times New Roman;Times;serif" w:hAnsi="Times New Roman;Times;serif"/>
          <w:sz w:val="20"/>
        </w:rPr>
        <w:t>6</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Inventory is stated at historic cost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Our inventory consisted of $23,000 in raw materials and $14,000 in finished goods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Inventory relates to our dietary supplement products.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Property and equipment are stated at cost less accumulated depreciation. Property and equipment consist of laboratory and office equipment, computer software, and leasehold improvements. Depreciation is calculated using the straight-line method over the estimated economic useful lives of the assets, which are 3 to 5 years for laboratory equipment, 3 to 7 years for furniture and fixtures, and 2 to 5 years for computer software. Leasehold improvements are amortized over the lesser of the estimated lease term or the estimated useful life of the assets. Costs for capital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condensed consolidated statements of operations and comprehensive loss. Maintenance and repairs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improve or extend the lives of the respective assets are expensed to operations as incurred.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capitalize costs to obtain or develop computer software for internal use, including development costs incurred during the software development stage and costs to obtain software for access and conversion of historical data. We also capitalize costs to modify, upgrade, or enhance existing internal-use software that result in additional functionality. We expense costs incurred during the preliminary project stage, training costs, data conversion costs, and maintenance costs.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w:t>
      </w:r>
    </w:p>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When debt is issued and a derivative is required to be separated (e.g., bifurcated conversion option) or another separate freestanding financial instrument (e.g., warrant) is issued, costs and fees incurred are allocated to the instruments issued (or bifurcated) in proportion to the allocation of proceeds. When some portions of the costs and fees relate to a bifurcated derivative or freestanding financial instrument that is being subsequently measured at fair value, those allocated costs are expensed immediately. Debt discounts, debt premiums, and debt issuance costs related to debt are recorded as deductions that net against the principal value of the debt and are amortized to interest expense over the contractual term of the debt using the effective interest method.</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In accordance with ASC </w:t>
      </w:r>
      <w:r>
        <w:rPr>
          <w:rStyle w:val="Emphasis"/>
          <w:rFonts w:ascii="Times New Roman;Times;serif" w:hAnsi="Times New Roman;Times;serif"/>
          <w:sz w:val="20"/>
        </w:rPr>
        <w:t>470</w:t>
      </w:r>
      <w:r>
        <w:rPr>
          <w:rFonts w:ascii="Times New Roman;Times;serif" w:hAnsi="Times New Roman;Times;serif"/>
          <w:sz w:val="20"/>
        </w:rPr>
        <w:t>-</w:t>
      </w:r>
      <w:r>
        <w:rPr>
          <w:rStyle w:val="Emphasis"/>
          <w:rFonts w:ascii="Times New Roman;Times;serif" w:hAnsi="Times New Roman;Times;serif"/>
          <w:sz w:val="20"/>
        </w:rPr>
        <w:t>20,</w:t>
      </w:r>
      <w:r>
        <w:rPr>
          <w:rFonts w:ascii="Times New Roman;Times;serif" w:hAnsi="Times New Roman;Times;serif"/>
          <w:sz w:val="20"/>
        </w:rPr>
        <w:t xml:space="preserve"> </w:t>
      </w:r>
      <w:r>
        <w:rPr>
          <w:rFonts w:ascii="Times New Roman;Times;serif" w:hAnsi="Times New Roman;Times;serif"/>
          <w:i/>
          <w:sz w:val="20"/>
        </w:rPr>
        <w:t>Debt with Conversion and Other Options</w:t>
      </w:r>
      <w:r>
        <w:rPr>
          <w:rFonts w:ascii="Times New Roman;Times;serif" w:hAnsi="Times New Roman;Times;serif"/>
          <w:sz w:val="20"/>
        </w:rPr>
        <w:t xml:space="preserve">, when we issue debt with warrants, we treat the warrants as a debt discount, recorded as a contra-liability against the debt, and amortize the balance over the life of the underlying debt as interest expense in the condensed consolidated statements of operations and comprehensive loss. The offset to the contra-liability is recorded as additional paid-in capital in the condensed consolidated balance sheets if the warrants are </w:t>
      </w:r>
      <w:r>
        <w:rPr>
          <w:rStyle w:val="Emphasis"/>
          <w:rFonts w:ascii="Times New Roman;Times;serif" w:hAnsi="Times New Roman;Times;serif"/>
          <w:sz w:val="20"/>
        </w:rPr>
        <w:t>not</w:t>
      </w:r>
      <w:r>
        <w:rPr>
          <w:rFonts w:ascii="Times New Roman;Times;serif" w:hAnsi="Times New Roman;Times;serif"/>
          <w:sz w:val="20"/>
        </w:rPr>
        <w:t xml:space="preserve"> treated as a derivative or liability under ASC </w:t>
      </w:r>
      <w:r>
        <w:rPr>
          <w:rStyle w:val="Emphasis"/>
          <w:rFonts w:ascii="Times New Roman;Times;serif" w:hAnsi="Times New Roman;Times;serif"/>
          <w:sz w:val="20"/>
        </w:rPr>
        <w:t>480,</w:t>
      </w:r>
      <w:r>
        <w:rPr>
          <w:rFonts w:ascii="Times New Roman;Times;serif" w:hAnsi="Times New Roman;Times;serif"/>
          <w:sz w:val="20"/>
        </w:rPr>
        <w:t xml:space="preserve"> </w:t>
      </w:r>
      <w:r>
        <w:rPr>
          <w:rFonts w:ascii="Times New Roman;Times;serif" w:hAnsi="Times New Roman;Times;serif"/>
          <w:i/>
          <w:sz w:val="20"/>
        </w:rPr>
        <w:t>Distinguishing Liabilities from Equity</w:t>
      </w:r>
      <w:r>
        <w:rPr>
          <w:rFonts w:ascii="Times New Roman;Times;serif" w:hAnsi="Times New Roman;Times;serif"/>
          <w:sz w:val="20"/>
        </w:rPr>
        <w:t xml:space="preserve"> (“ASC </w:t>
      </w:r>
      <w:r>
        <w:rPr>
          <w:rStyle w:val="Emphasis"/>
          <w:rFonts w:ascii="Times New Roman;Times;serif" w:hAnsi="Times New Roman;Times;serif"/>
          <w:sz w:val="20"/>
        </w:rPr>
        <w:t>480”</w:t>
      </w:r>
      <w:r>
        <w:rPr>
          <w:rFonts w:ascii="Times New Roman;Times;serif" w:hAnsi="Times New Roman;Times;serif"/>
          <w:sz w:val="20"/>
        </w:rPr>
        <w:t>). Otherwise, the offset to the contra-liability is recorded as a warrant liability in the condensed consolidated balance sheets and is subject to re-measurement to fair value at each balance sheet date, with any changes in fair value recognized in the condensed consolidated statements of operations and comprehensive loss. If the debt is retired early, the associated debt discount is then recognized immediately as interest expense in the condensed consolidated statements of operations and comprehensive loss.</w:t>
      </w:r>
    </w:p>
    <w:p>
      <w:pPr>
        <w:pStyle w:val="TextBody"/>
        <w:bidi w:val="0"/>
        <w:spacing w:before="0" w:after="0"/>
        <w:ind w:left="0" w:right="0" w:firstLine="50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Debt</w:t>
      </w:r>
    </w:p>
    <w:p>
      <w:pPr>
        <w:pStyle w:val="TextBody"/>
        <w:bidi w:val="0"/>
        <w:spacing w:before="0" w:after="0"/>
        <w:ind w:left="0" w:right="0" w:hanging="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In accordance with ASU </w:t>
      </w:r>
      <w:r>
        <w:rPr>
          <w:rStyle w:val="Emphasis"/>
          <w:rFonts w:ascii="Times New Roman;Times;serif" w:hAnsi="Times New Roman;Times;serif"/>
          <w:sz w:val="20"/>
        </w:rPr>
        <w:t>2020</w:t>
      </w:r>
      <w:r>
        <w:rPr>
          <w:rFonts w:ascii="Times New Roman;Times;serif" w:hAnsi="Times New Roman;Times;serif"/>
          <w:sz w:val="20"/>
        </w:rPr>
        <w:t>-</w:t>
      </w:r>
      <w:r>
        <w:rPr>
          <w:rStyle w:val="Emphasis"/>
          <w:rFonts w:ascii="Times New Roman;Times;serif" w:hAnsi="Times New Roman;Times;serif"/>
          <w:sz w:val="20"/>
        </w:rPr>
        <w:t>06,</w:t>
      </w:r>
      <w:r>
        <w:rPr>
          <w:rFonts w:ascii="Times New Roman;Times;serif" w:hAnsi="Times New Roman;Times;serif"/>
          <w:sz w:val="20"/>
        </w:rPr>
        <w:t xml:space="preserve"> </w:t>
      </w:r>
      <w:r>
        <w:rPr>
          <w:rFonts w:ascii="Times New Roman;Times;serif" w:hAnsi="Times New Roman;Times;serif"/>
          <w:i/>
          <w:sz w:val="20"/>
        </w:rPr>
        <w:t xml:space="preserve">Debt—Debt with Conversion and Other Options (Subtopic </w:t>
      </w:r>
      <w:r>
        <w:rPr>
          <w:rStyle w:val="Emphasis"/>
          <w:rFonts w:ascii="Times New Roman;Times;serif" w:hAnsi="Times New Roman;Times;serif"/>
          <w:i/>
          <w:sz w:val="20"/>
        </w:rPr>
        <w:t>470</w:t>
      </w:r>
      <w:r>
        <w:rPr>
          <w:rFonts w:ascii="Times New Roman;Times;serif" w:hAnsi="Times New Roman;Times;serif"/>
          <w:i/>
          <w:sz w:val="20"/>
        </w:rPr>
        <w:t>-</w:t>
      </w:r>
      <w:r>
        <w:rPr>
          <w:rStyle w:val="Emphasis"/>
          <w:rFonts w:ascii="Times New Roman;Times;serif" w:hAnsi="Times New Roman;Times;serif"/>
          <w:i/>
          <w:sz w:val="20"/>
        </w:rPr>
        <w:t>20</w:t>
      </w:r>
      <w:r>
        <w:rPr>
          <w:rFonts w:ascii="Times New Roman;Times;serif" w:hAnsi="Times New Roman;Times;serif"/>
          <w:i/>
          <w:sz w:val="20"/>
        </w:rPr>
        <w:t xml:space="preserve">) and Derivatives and Hedging—Contracts in Entity’s Own Equity (Subtopic </w:t>
      </w:r>
      <w:r>
        <w:rPr>
          <w:rStyle w:val="Emphasis"/>
          <w:rFonts w:ascii="Times New Roman;Times;serif" w:hAnsi="Times New Roman;Times;serif"/>
          <w:i/>
          <w:sz w:val="20"/>
        </w:rPr>
        <w:t>815</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Accounting for Convertible Instruments and Contracts in an Entity’s Own Equity</w:t>
      </w:r>
      <w:r>
        <w:rPr>
          <w:rFonts w:ascii="Times New Roman;Times;serif" w:hAnsi="Times New Roman;Times;serif"/>
          <w:sz w:val="20"/>
        </w:rPr>
        <w:t xml:space="preserve">, when we issue notes with conversion features, we evaluate if the conversion feature is freestanding or embedded. If the conversion feature is embedded, we do </w:t>
      </w:r>
      <w:r>
        <w:rPr>
          <w:rStyle w:val="Emphasis"/>
          <w:rFonts w:ascii="Times New Roman;Times;serif" w:hAnsi="Times New Roman;Times;serif"/>
          <w:sz w:val="20"/>
        </w:rPr>
        <w:t>not</w:t>
      </w:r>
      <w:r>
        <w:rPr>
          <w:rFonts w:ascii="Times New Roman;Times;serif" w:hAnsi="Times New Roman;Times;serif"/>
          <w:sz w:val="20"/>
        </w:rPr>
        <w:t xml:space="preserve"> separate the conversion feature from the host contract for convertible notes that are </w:t>
      </w:r>
      <w:r>
        <w:rPr>
          <w:rStyle w:val="Emphasis"/>
          <w:rFonts w:ascii="Times New Roman;Times;serif" w:hAnsi="Times New Roman;Times;serif"/>
          <w:sz w:val="20"/>
        </w:rPr>
        <w:t>not</w:t>
      </w:r>
      <w:r>
        <w:rPr>
          <w:rFonts w:ascii="Times New Roman;Times;serif" w:hAnsi="Times New Roman;Times;serif"/>
          <w:sz w:val="20"/>
        </w:rPr>
        <w:t xml:space="preserve"> required to be accounted for as derivatives, or that do </w:t>
      </w:r>
      <w:r>
        <w:rPr>
          <w:rStyle w:val="Emphasis"/>
          <w:rFonts w:ascii="Times New Roman;Times;serif" w:hAnsi="Times New Roman;Times;serif"/>
          <w:sz w:val="20"/>
        </w:rPr>
        <w:t>not</w:t>
      </w:r>
      <w:r>
        <w:rPr>
          <w:rFonts w:ascii="Times New Roman;Times;serif" w:hAnsi="Times New Roman;Times;serif"/>
          <w:sz w:val="20"/>
        </w:rPr>
        <w:t xml:space="preserve"> result in substantial premiums accounted for as paid-in-capital. Consequently, we account for a convertible note as a single liability measured at its amortized cost as long as </w:t>
      </w:r>
      <w:r>
        <w:rPr>
          <w:rStyle w:val="Emphasis"/>
          <w:rFonts w:ascii="Times New Roman;Times;serif" w:hAnsi="Times New Roman;Times;serif"/>
          <w:sz w:val="20"/>
        </w:rPr>
        <w:t>no</w:t>
      </w:r>
      <w:r>
        <w:rPr>
          <w:rFonts w:ascii="Times New Roman;Times;serif" w:hAnsi="Times New Roman;Times;serif"/>
          <w:sz w:val="20"/>
        </w:rPr>
        <w:t xml:space="preserve"> other features require separation and recognition as derivatives. If the conversion feature is freestanding, or is embedded and meets the requirements to be separated, we account for the conversion feature as a derivative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xml:space="preserve"> (“ASC </w:t>
      </w:r>
      <w:r>
        <w:rPr>
          <w:rStyle w:val="Emphasis"/>
          <w:rFonts w:ascii="Times New Roman;Times;serif" w:hAnsi="Times New Roman;Times;serif"/>
          <w:sz w:val="20"/>
        </w:rPr>
        <w:t>815”</w:t>
      </w:r>
      <w:r>
        <w:rPr>
          <w:rFonts w:ascii="Times New Roman;Times;serif" w:hAnsi="Times New Roman;Times;serif"/>
          <w:sz w:val="20"/>
        </w:rPr>
        <w:t>). We record the derivative instrument at fair value at inception, and subsequently re-measure to fair value at each reporting period and immediately prior to the extinguishment of the derivative instrument, with any changes recorded in the condensed consolidated statements of operations and comprehensive loss.</w:t>
      </w:r>
    </w:p>
    <w:p>
      <w:pPr>
        <w:pStyle w:val="TextBody"/>
        <w:bidi w:val="0"/>
        <w:spacing w:before="0" w:after="0"/>
        <w:ind w:left="0" w:right="0" w:firstLine="500"/>
        <w:jc w:val="both"/>
        <w:rPr/>
      </w:pPr>
      <w:r>
        <w:rPr/>
        <w:t> </w:t>
      </w:r>
    </w:p>
    <w:p>
      <w:pPr>
        <w:pStyle w:val="TextBody"/>
        <w:bidi w:val="0"/>
        <w:spacing w:before="0" w:after="0"/>
        <w:ind w:left="0" w:right="0" w:firstLine="500"/>
        <w:jc w:val="center"/>
        <w:rPr/>
      </w:pPr>
      <w:r>
        <w:rPr>
          <w:rStyle w:val="Emphasis"/>
          <w:rFonts w:ascii="Times New Roman;Times;serif" w:hAnsi="Times New Roman;Times;serif"/>
          <w:sz w:val="20"/>
        </w:rPr>
        <w:t>7</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hanging="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At inception of a contract, we determine if a contract meets the definition of a lease. We determine if the contract conveys the right to control the use of an identified asset for a period of time. We assess throughout the period of use whether we have both of the following: (i) the right to obtain substantially all the economic benefits from use of the identified asset, and (ii)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future lease payments less any lease incentives received. At the lease commencement date, the discount rate implicit in the lease is used to discount the lease liability if readily determinable. If </w:t>
      </w:r>
      <w:r>
        <w:rPr>
          <w:rStyle w:val="Emphasis"/>
          <w:rFonts w:ascii="Times New Roman;Times;serif" w:hAnsi="Times New Roman;Times;serif"/>
          <w:sz w:val="20"/>
        </w:rPr>
        <w:t>not</w:t>
      </w:r>
      <w:r>
        <w:rPr>
          <w:rFonts w:ascii="Times New Roman;Times;serif" w:hAnsi="Times New Roman;Times;serif"/>
          <w:sz w:val="20"/>
        </w:rPr>
        <w:t xml:space="preserve"> readily determinable or leases do </w:t>
      </w:r>
      <w:r>
        <w:rPr>
          <w:rStyle w:val="Emphasis"/>
          <w:rFonts w:ascii="Times New Roman;Times;serif" w:hAnsi="Times New Roman;Times;serif"/>
          <w:sz w:val="20"/>
        </w:rPr>
        <w:t>not</w:t>
      </w:r>
      <w:r>
        <w:rPr>
          <w:rFonts w:ascii="Times New Roman;Times;serif" w:hAnsi="Times New Roman;Times;serif"/>
          <w:sz w:val="20"/>
        </w:rPr>
        <w:t xml:space="preserve"> contain an implicit rate, our incremental borrowing rate is used as the discount rate. Our policy is to </w:t>
      </w:r>
      <w:r>
        <w:rPr>
          <w:rStyle w:val="Emphasis"/>
          <w:rFonts w:ascii="Times New Roman;Times;serif" w:hAnsi="Times New Roman;Times;serif"/>
          <w:sz w:val="20"/>
        </w:rPr>
        <w:t>not</w:t>
      </w:r>
      <w:r>
        <w:rPr>
          <w:rFonts w:ascii="Times New Roman;Times;serif" w:hAnsi="Times New Roman;Times;serif"/>
          <w:sz w:val="20"/>
        </w:rPr>
        <w:t xml:space="preserve"> record leases with an original term of </w:t>
      </w:r>
      <w:r>
        <w:rPr>
          <w:rStyle w:val="Emphasis"/>
          <w:rFonts w:ascii="Times New Roman;Times;serif" w:hAnsi="Times New Roman;Times;serif"/>
          <w:sz w:val="20"/>
        </w:rPr>
        <w:t>twelve</w:t>
      </w:r>
      <w:r>
        <w:rPr>
          <w:rFonts w:ascii="Times New Roman;Times;serif" w:hAnsi="Times New Roman;Times;serif"/>
          <w:sz w:val="20"/>
        </w:rPr>
        <w:t xml:space="preserve"> months or less within the condensed consolidated balance sheets and we recognize lease expense for these short-term leases on a straight-line basis over the lease term.</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Certain lease agreements </w:t>
      </w:r>
      <w:r>
        <w:rPr>
          <w:rStyle w:val="Emphasis"/>
          <w:rFonts w:ascii="Times New Roman;Times;serif" w:hAnsi="Times New Roman;Times;serif"/>
          <w:sz w:val="20"/>
        </w:rPr>
        <w:t xml:space="preserve">may </w:t>
      </w:r>
      <w:r>
        <w:rPr>
          <w:rFonts w:ascii="Times New Roman;Times;serif" w:hAnsi="Times New Roman;Times;serif"/>
          <w:sz w:val="20"/>
        </w:rPr>
        <w:t xml:space="preserve">require us to pay additional amounts for taxes, insurance, maintenance, and other expenses, which are generally referred to as non-lease components. Such variable non-lease components are treated as variable lease payments and recognized in the period in which the obligation for these payments is incurred. Variable lease components and variable non-lease components are </w:t>
      </w:r>
      <w:r>
        <w:rPr>
          <w:rStyle w:val="Emphasis"/>
          <w:rFonts w:ascii="Times New Roman;Times;serif" w:hAnsi="Times New Roman;Times;serif"/>
          <w:sz w:val="20"/>
        </w:rPr>
        <w:t>not</w:t>
      </w:r>
      <w:r>
        <w:rPr>
          <w:rFonts w:ascii="Times New Roman;Times;serif" w:hAnsi="Times New Roman;Times;serif"/>
          <w:sz w:val="20"/>
        </w:rPr>
        <w:t xml:space="preserve">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fixed lease and non-lease component. This policy election applies consistently to all asset classes under lease agreements.</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Leases </w:t>
      </w:r>
      <w:r>
        <w:rPr>
          <w:rStyle w:val="Emphasis"/>
          <w:rFonts w:ascii="Times New Roman;Times;serif" w:hAnsi="Times New Roman;Times;serif"/>
          <w:sz w:val="20"/>
        </w:rPr>
        <w:t xml:space="preserve">may </w:t>
      </w:r>
      <w:r>
        <w:rPr>
          <w:rFonts w:ascii="Times New Roman;Times;serif" w:hAnsi="Times New Roman;Times;serif"/>
          <w:sz w:val="20"/>
        </w:rPr>
        <w:t xml:space="preserve">contain clauses for renewal at our option. Payments to be made in option periods are recognized as part of the right-of-use lease assets and lease liabilities when it is reasonably certain that the option to extend the lease will be exercised, or is </w:t>
      </w:r>
      <w:r>
        <w:rPr>
          <w:rStyle w:val="Emphasis"/>
          <w:rFonts w:ascii="Times New Roman;Times;serif" w:hAnsi="Times New Roman;Times;serif"/>
          <w:sz w:val="20"/>
        </w:rPr>
        <w:t>not</w:t>
      </w:r>
      <w:r>
        <w:rPr>
          <w:rFonts w:ascii="Times New Roman;Times;serif" w:hAnsi="Times New Roman;Times;serif"/>
          <w:sz w:val="20"/>
        </w:rPr>
        <w:t xml:space="preserve"> at our option. We determine whether the reasonably certain threshold is met by considering contract-, asset-, market-, and entity-based factors. Operating lease expense, which is recognized on a straight-line basis over the lease term, and the amortization of finance lease right-of-use assets, which are included in property and equipment and depreciated, are included in research and development or general and administrative expenses consistent with the leased assets’ primary use. Accretion on the liabilities for finance leases is included in interest expense.</w:t>
      </w:r>
    </w:p>
    <w:p>
      <w:pPr>
        <w:pStyle w:val="TextBody"/>
        <w:bidi w:val="0"/>
        <w:spacing w:before="0" w:after="0"/>
        <w:ind w:left="0" w:right="0" w:firstLine="50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Contingent Earn-Out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became a public company on </w:t>
      </w:r>
      <w:r>
        <w:rPr>
          <w:rStyle w:val="Emphasis"/>
          <w:rFonts w:ascii="Times New Roman" w:hAnsi="Times New Roman"/>
          <w:caps w:val="false"/>
          <w:smallCaps w:val="false"/>
          <w:sz w:val="20"/>
        </w:rPr>
        <w:t xml:space="preserve">December 30, 2020 </w:t>
      </w:r>
      <w:r>
        <w:rPr>
          <w:rFonts w:ascii="Times New Roman" w:hAnsi="Times New Roman"/>
          <w:caps w:val="false"/>
          <w:smallCaps w:val="false"/>
          <w:sz w:val="20"/>
        </w:rPr>
        <w:t xml:space="preserve">via reverse recapitalization, pursuant to which we granted contingent earn-out awards (the “Contingent Earn-outs”) in the form of shares of our common stock, par value $0.0001 per share, to be paid to certain stockholders and former officers and directors if we had achieved market-based milestones within three to five years following the Reverse Recapitalization.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Contingent Earn-outs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our own stock and were accounted for as a liability and subsequently remeasured to fair value at each reporting date, with changes recorded as a component of other income (expense), net.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milestones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achieved and the Contingent Earn-outs were cancelled.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account for common stock warrants as either equity- or liability-classified instruments based on an assessment of the warrant terms.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our common stock,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Grant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submit applications to receive grant funding from governmental and non-governmental entities. We account for grants by analogizing to the grant accounting model under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We recognize grant funding without conditions or continuing performance obligations, including certain research and development tax credits, as other income in the condensed consolidated statements of operations and comprehensive loss. We accrue certain research and development tax credits receivable in other current assets (see Note </w:t>
      </w:r>
      <w:r>
        <w:rPr>
          <w:rStyle w:val="Emphasis"/>
          <w:rFonts w:ascii="Times New Roman" w:hAnsi="Times New Roman"/>
          <w:caps w:val="false"/>
          <w:smallCaps w:val="false"/>
          <w:sz w:val="20"/>
        </w:rPr>
        <w:t>4</w:t>
      </w:r>
      <w:r>
        <w:rPr>
          <w:rFonts w:ascii="Times New Roman" w:hAnsi="Times New Roman"/>
          <w:caps w:val="false"/>
          <w:smallCaps w:val="false"/>
          <w:sz w:val="20"/>
        </w:rPr>
        <w:t>) in an amount equal to the qualifying expenses incurred in each period multiplied by the applicable reimbursement percentage and we recognize other income in the condensed consolidated statements of operations and comprehensive loss. After submission of our tax returns, we receive a cash refund of certain research and development tax credits and relieve the receivable.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8</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We recognize grant funding with conditions or continuing performance obligations as a reduction in research and development or general and administrative expenses in the period during which the related qualifying expenses are incurred and as the conditions or performance obligations are fulfilled. Any amount received in advance of fulfilling such conditions or performance obligations is recorded in accrued liabilities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if the conditions or performance obligations are expected to be met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We recognized grant funding as a reduction of research and development expenses totaling $1.9 million and $2.1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$5.9 million and $6.2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We recognized grant funding as a reduction of general and administrative expenses totaling $0.1 million and $0.1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$0.3 million and $0.2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lineRule="auto" w:line="288"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we were awarded a grant (“the NIH Grant”) in collaboration with New York University (“NYU”) as prime awardee (formerly Columbia University), and Synapticure, a neurology specialty health clinic, from the National Institutes of Health (“NIH”). The NIH Grant was awarded pursuant to the Accelerating Access to Critical Therapies for ALS Act to support up to a </w:t>
      </w:r>
      <w:r>
        <w:rPr>
          <w:rStyle w:val="Emphasis"/>
          <w:rFonts w:ascii="Times New Roman" w:hAnsi="Times New Roman"/>
          <w:caps w:val="false"/>
          <w:smallCaps w:val="false"/>
          <w:sz w:val="20"/>
        </w:rPr>
        <w:t>four</w:t>
      </w:r>
      <w:r>
        <w:rPr>
          <w:rFonts w:ascii="Times New Roman" w:hAnsi="Times New Roman"/>
          <w:caps w:val="false"/>
          <w:smallCaps w:val="false"/>
          <w:sz w:val="20"/>
        </w:rPr>
        <w:t>-year Expanded Access Program (the “ACT-EAP”) for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treatment of ALS. The NIH Grant totaled $45.1 million and subawards to us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total up to $30.9 million in aggregate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extend to </w:t>
      </w:r>
      <w:r>
        <w:rPr>
          <w:rStyle w:val="Emphasis"/>
          <w:rFonts w:ascii="Times New Roman" w:hAnsi="Times New Roman"/>
          <w:caps w:val="false"/>
          <w:smallCaps w:val="false"/>
          <w:sz w:val="20"/>
        </w:rPr>
        <w:t xml:space="preserve">August 31, 2027. </w:t>
      </w:r>
      <w:r>
        <w:rPr>
          <w:rFonts w:ascii="Times New Roman" w:hAnsi="Times New Roman"/>
          <w:caps w:val="false"/>
          <w:smallCaps w:val="false"/>
          <w:sz w:val="20"/>
        </w:rPr>
        <w:t xml:space="preserve">Subawards are awarded annually and subaward funds are paid to us as reimbursement for expenditures to support the ACT-EAP. Subawards for the first, second,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year of the ACT-EAP totaled $7.3 million, $8.0 million, and $8.0 million respectively. We recognized grant revenue totaling $1.8 million and $2.1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$6.1 million and $6.4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which we recognized as reductions of research and development and general and administrative expenses.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functional and reporting currency is the U.S. dollar (“USD”). Clene Australia and Clene Netherlands determined their functional currencies to be the Australian dollar and Euro, respectively. The results of our foreign currency operations are translated into USD at the average exchange rates during the period, assets and liabilities are translated using the exchange rate as of the balance sheet date, and stockholders’ deficit is translated using historical rates. Adjustments from the translation of the results of our foreign currency operations are excluded from net loss and are accumulated in a separate component of stockholders’ deficit. We also incur foreign exchange transaction gains and losses for purchases denominated in foreign currencies. Foreign exchange transaction gains and losses are included in other income (expense), net, as incurred.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Comprehensive loss includes net loss as well as other changes in stockholders’ deficit that result from transactions and economic events other than those with stockholders. The only elements of other comprehensive loss in any periods presented were the translation of foreign currency denominated balances of Clene Australia and Clene Netherlands to USD for consolidation.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 Attributable to Common Stockholders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Basic net loss per share attributable to common stockholders is calculated using our weighted-average outstanding common shares. Shares issuable for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cash consideration, such as pre-funded warrants, shall be considered outstanding common shares upon the satisfaction of any contingent conditions or when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contingent conditions. Diluted net loss per share attributable to common stockholders is calculated using our weighted-average outstanding common shares including the dilutive effect of securities as determined under the treasury stock method, except for the dilutive effect of convertible notes payable, which is calculated under the if-converted method, even if the embedded conversion option is out-of-the-money. In periods in which we report a net loss attributable to common stockholders, diluted net loss per share attributable to common stockholders is the same as basic net loss per share attributable to common stockholders, since dilutive common shares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assumed to have been issued if their effect is anti-dilutive.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report segment information based on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which defines operating segments as components of a company that engage in activities from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recognize revenues and incur expenses, and for which operating results are regularly reviewed by the entity’s chief operating decision maker (“CODM”) to make decisions regarding resource allocation and assess performance, and for which discrete financial information is available. We determined that the Company is a single operating and reportable segment (“Products”) focused on treating central nervous system disorders through discovery, development, and commercialization of our novel CSN therapeutics. Our chief executive officer acts as the CODM and allocates resources and assesses performance at a consolidated level. Segment information is further described in Note </w:t>
      </w:r>
      <w:r>
        <w:rPr>
          <w:rStyle w:val="Emphasis"/>
          <w:rFonts w:ascii="Times New Roman" w:hAnsi="Times New Roman"/>
          <w:caps w:val="false"/>
          <w:smallCaps w:val="false"/>
          <w:sz w:val="20"/>
        </w:rPr>
        <w:t>16</w:t>
      </w:r>
      <w:r>
        <w:rPr>
          <w:rFonts w:ascii="Times New Roman" w:hAnsi="Times New Roman"/>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center"/>
        <w:rPr/>
      </w:pPr>
      <w:r>
        <w:rPr>
          <w:rStyle w:val="Emphasis"/>
          <w:rFonts w:ascii="Times New Roman;Times;serif" w:hAnsi="Times New Roman;Times;serif"/>
          <w:sz w:val="20"/>
        </w:rPr>
        <w:t>9</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account for income taxes using the asset and liability method, which requires the recognition of deferred tax assets and liabilities for the expected future tax consequences of events that have been recognized in the condensed consolidated financial statements or in our tax returns. Under this method, deferred tax assets and liabilities are determined based on the differences between the financial statement basis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We recognize deferred tax assets to the extent we believe these assets are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In making such a determination, we consider all available positive and negative evidence, including future reversals of existing taxable temporary differences, projected future taxable income, tax-planning strategies, and recent results of operations. If we determine that we would be able to realize any deferred tax assets in the future in excess of their net recorded amount, we would make an adjustment to the deferred tax asset valuation allowance, which would reduce the provision for income taxes.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record uncertain tax positions in accordance with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on the basis of 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-step process to (i)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tax positions will be sustained on the basis of the technical merits of the position, and (ii) for those tax positions that meet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we recognize the largest amount of tax benefit that is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likely to be realized upon ultimate settlement with the related tax authority. We recognize interest and penalties related to unrecognized tax benefits within income tax expense in the condensed consolidated statements of operations and comprehensive loss. Any accrued interest and penalties related to uncertain tax positions will be reflected as liabilities in the condensed consolidated balance sheets.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account for stock-based compensation arrangements using a fair value-based method for costs related to all share-based payments. Stock-based compensation expense is recorded in research and development and general and administrative expenses based on the classification of the work performed by the grantees. The fair value is recognized over the period during which a grantee is required to provide services in exchange for the share-based payment, known as the requisite service period (usually the vesting period), on a straight-line basis. We generally grant stock options with a </w:t>
      </w:r>
      <w:r>
        <w:rPr>
          <w:rStyle w:val="Emphasis"/>
          <w:rFonts w:ascii="Times New Roman" w:hAnsi="Times New Roman"/>
          <w:caps w:val="false"/>
          <w:smallCaps w:val="false"/>
          <w:sz w:val="20"/>
        </w:rPr>
        <w:t>four</w:t>
      </w:r>
      <w:r>
        <w:rPr>
          <w:rFonts w:ascii="Times New Roman" w:hAnsi="Times New Roman"/>
          <w:caps w:val="false"/>
          <w:smallCaps w:val="false"/>
          <w:sz w:val="20"/>
        </w:rPr>
        <w:t>-year requisite service period. We elect to account for forfeitures as they occur, rather than estimating expected forfeitures. We determine the fair value of stock option awards using a Black-Scholes option pricing model based on the closing price of our common stock on the date of grant.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Certain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based upon performance conditions instead of service conditions, such as the achievement of regulatory milestones or financial performance measures. Compensation expense will be recognized when the conditions become probable of being satisfied. For the grant-date fair value, we estimate the expected term of stock options with performance conditions based upon the nature of the conditions. If the expected term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estimable and the achievement of performance conditions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we use the contractual term as the expected term.</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Recent Accounting Pronouncements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Yet Adopted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requires that public entities disclose additional information about specific expense categories in the notes to financial statements at interim and annual reporting periods.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clarified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with the issuance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The guidance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We are currently evaluating the impact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 xml:space="preserve">Intangibles—Goodwill and Other—Internal-Use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requires that entities start capitalizing software costs when funding is authorized and committed and it is probable that the project will be completed and the software will be used to perform its intended function. The guidance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and interim periods within those annual periods, with early adoption permitted. We are currently evaluating the impact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Government Grants (Topic </w:t>
      </w:r>
      <w:r>
        <w:rPr>
          <w:rStyle w:val="Emphasis"/>
          <w:rFonts w:ascii="Times New Roman" w:hAnsi="Times New Roman"/>
          <w:i/>
          <w:caps w:val="false"/>
          <w:smallCaps w:val="false"/>
          <w:sz w:val="20"/>
        </w:rPr>
        <w:t>832</w:t>
      </w:r>
      <w:r>
        <w:rPr>
          <w:rFonts w:ascii="Times New Roman" w:hAnsi="Times New Roman"/>
          <w:i/>
          <w:caps w:val="false"/>
          <w:smallCaps w:val="false"/>
          <w:sz w:val="20"/>
        </w:rPr>
        <w:t>): Accounting for Government Grants Received by Business Entities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establishes authoritative guidance on how to recognize, measure, and present government grants received by business entities. The guidance is effective for annual periods beginning after </w:t>
      </w:r>
      <w:r>
        <w:rPr>
          <w:rStyle w:val="Emphasis"/>
          <w:rFonts w:ascii="Times New Roman" w:hAnsi="Times New Roman"/>
          <w:caps w:val="false"/>
          <w:smallCaps w:val="false"/>
          <w:sz w:val="20"/>
        </w:rPr>
        <w:t xml:space="preserve">December 15, 2028, </w:t>
      </w:r>
      <w:r>
        <w:rPr>
          <w:rFonts w:ascii="Times New Roman" w:hAnsi="Times New Roman"/>
          <w:caps w:val="false"/>
          <w:smallCaps w:val="false"/>
          <w:sz w:val="20"/>
        </w:rPr>
        <w:t xml:space="preserve">and interim periods within those annual periods, with early adoption permitted. We are currently evaluating the impact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center"/>
        <w:rPr/>
      </w:pPr>
      <w:r>
        <w:rPr>
          <w:rStyle w:val="Emphasis"/>
          <w:rFonts w:ascii="Times New Roman;Times;serif" w:hAnsi="Times New Roman;Times;serif"/>
          <w:sz w:val="20"/>
        </w:rPr>
        <w:t>10</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Cash and cash equivalents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8931" w:type="dxa"/>
        <w:jc w:val="left"/>
        <w:tblInd w:w="0" w:type="dxa"/>
        <w:tblLayout w:type="fixed"/>
        <w:tblCellMar>
          <w:top w:w="0" w:type="dxa"/>
          <w:left w:w="0" w:type="dxa"/>
          <w:bottom w:w="0" w:type="dxa"/>
          <w:right w:w="0" w:type="dxa"/>
        </w:tblCellMar>
      </w:tblPr>
      <w:tblGrid>
        <w:gridCol w:w="3260"/>
        <w:gridCol w:w="60"/>
        <w:gridCol w:w="218"/>
        <w:gridCol w:w="851"/>
        <w:gridCol w:w="60"/>
        <w:gridCol w:w="60"/>
        <w:gridCol w:w="537"/>
        <w:gridCol w:w="1117"/>
        <w:gridCol w:w="60"/>
        <w:gridCol w:w="60"/>
        <w:gridCol w:w="551"/>
        <w:gridCol w:w="1148"/>
        <w:gridCol w:w="60"/>
        <w:gridCol w:w="60"/>
        <w:gridCol w:w="157"/>
        <w:gridCol w:w="612"/>
        <w:gridCol w:w="6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 2026</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Gross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Gross 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Fair Value</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equivalents – money market funds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6,307</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3,364</w:t>
            </w:r>
          </w:p>
        </w:tc>
        <w:tc>
          <w:tcPr>
            <w:tcW w:w="60" w:type="dxa"/>
            <w:tcBorders/>
            <w:shd w:fill="FFFFFF" w:val="clear"/>
            <w:vAlign w:val="center"/>
          </w:tcPr>
          <w:p>
            <w:pPr>
              <w:pStyle w:val="TableContents"/>
              <w:bidi w:val="0"/>
              <w:spacing w:before="0" w:after="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9,671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9,671</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Cash and cash equivalents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8931" w:type="dxa"/>
        <w:jc w:val="left"/>
        <w:tblInd w:w="0" w:type="dxa"/>
        <w:tblLayout w:type="fixed"/>
        <w:tblCellMar>
          <w:top w:w="0" w:type="dxa"/>
          <w:left w:w="0" w:type="dxa"/>
          <w:bottom w:w="0" w:type="dxa"/>
          <w:right w:w="0" w:type="dxa"/>
        </w:tblCellMar>
      </w:tblPr>
      <w:tblGrid>
        <w:gridCol w:w="3260"/>
        <w:gridCol w:w="60"/>
        <w:gridCol w:w="218"/>
        <w:gridCol w:w="851"/>
        <w:gridCol w:w="60"/>
        <w:gridCol w:w="60"/>
        <w:gridCol w:w="537"/>
        <w:gridCol w:w="1117"/>
        <w:gridCol w:w="60"/>
        <w:gridCol w:w="60"/>
        <w:gridCol w:w="551"/>
        <w:gridCol w:w="1148"/>
        <w:gridCol w:w="60"/>
        <w:gridCol w:w="60"/>
        <w:gridCol w:w="157"/>
        <w:gridCol w:w="612"/>
        <w:gridCol w:w="6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Gross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Gross 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Fair Value</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 – 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2,978</w:t>
            </w:r>
          </w:p>
        </w:tc>
        <w:tc>
          <w:tcPr>
            <w:tcW w:w="60" w:type="dxa"/>
            <w:tcBorders/>
            <w:shd w:fill="FFFFFF" w:val="clear"/>
            <w:vAlign w:val="center"/>
          </w:tcPr>
          <w:p>
            <w:pPr>
              <w:pStyle w:val="TableContents"/>
              <w:bidi w:val="0"/>
              <w:spacing w:before="0" w:after="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5,189</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Prepaid expenses and other current assets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5848" w:type="dxa"/>
        <w:jc w:val="left"/>
        <w:tblInd w:w="0" w:type="dxa"/>
        <w:tblLayout w:type="fixed"/>
        <w:tblCellMar>
          <w:top w:w="0" w:type="dxa"/>
          <w:left w:w="0" w:type="dxa"/>
          <w:bottom w:w="0" w:type="dxa"/>
          <w:right w:w="0" w:type="dxa"/>
        </w:tblCellMar>
      </w:tblPr>
      <w:tblGrid>
        <w:gridCol w:w="3980"/>
        <w:gridCol w:w="60"/>
        <w:gridCol w:w="130"/>
        <w:gridCol w:w="504"/>
        <w:gridCol w:w="60"/>
        <w:gridCol w:w="60"/>
        <w:gridCol w:w="203"/>
        <w:gridCol w:w="791"/>
        <w:gridCol w:w="60"/>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Metals to be used in research and development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2,736</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Grants receivable</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Prepaid clinical and CRO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Research and development tax credits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prepaid expenses and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Property and equipment, net,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4844" w:type="dxa"/>
        <w:jc w:val="left"/>
        <w:tblInd w:w="0" w:type="dxa"/>
        <w:tblLayout w:type="fixed"/>
        <w:tblCellMar>
          <w:top w:w="0" w:type="dxa"/>
          <w:left w:w="0" w:type="dxa"/>
          <w:bottom w:w="0" w:type="dxa"/>
          <w:right w:w="0" w:type="dxa"/>
        </w:tblCellMar>
      </w:tblPr>
      <w:tblGrid>
        <w:gridCol w:w="2795"/>
        <w:gridCol w:w="60"/>
        <w:gridCol w:w="125"/>
        <w:gridCol w:w="650"/>
        <w:gridCol w:w="80"/>
        <w:gridCol w:w="60"/>
        <w:gridCol w:w="172"/>
        <w:gridCol w:w="822"/>
        <w:gridCol w:w="8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December 31,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9,983</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15,384</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Depreciation expense recorded in research and development expense and general and administrative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6579" w:type="dxa"/>
        <w:jc w:val="left"/>
        <w:tblInd w:w="0" w:type="dxa"/>
        <w:tblLayout w:type="fixed"/>
        <w:tblCellMar>
          <w:top w:w="0" w:type="dxa"/>
          <w:left w:w="0" w:type="dxa"/>
          <w:bottom w:w="0" w:type="dxa"/>
          <w:right w:w="0" w:type="dxa"/>
        </w:tblCellMar>
      </w:tblPr>
      <w:tblGrid>
        <w:gridCol w:w="2225"/>
        <w:gridCol w:w="60"/>
        <w:gridCol w:w="258"/>
        <w:gridCol w:w="692"/>
        <w:gridCol w:w="124"/>
        <w:gridCol w:w="124"/>
        <w:gridCol w:w="258"/>
        <w:gridCol w:w="692"/>
        <w:gridCol w:w="60"/>
        <w:gridCol w:w="60"/>
        <w:gridCol w:w="236"/>
        <w:gridCol w:w="634"/>
        <w:gridCol w:w="113"/>
        <w:gridCol w:w="113"/>
        <w:gridCol w:w="236"/>
        <w:gridCol w:w="634"/>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sz w:val="20"/>
              </w:rPr>
            </w:pPr>
            <w:r>
              <w:rPr>
                <w:sz w:val="20"/>
              </w:rPr>
              <w:t>$</w:t>
            </w:r>
          </w:p>
        </w:tc>
        <w:tc>
          <w:tcPr>
            <w:tcW w:w="692" w:type="dxa"/>
            <w:tcBorders/>
            <w:shd w:fill="CCEEFF" w:val="clear"/>
            <w:vAlign w:val="center"/>
          </w:tcPr>
          <w:p>
            <w:pPr>
              <w:pStyle w:val="TableContents"/>
              <w:bidi w:val="0"/>
              <w:spacing w:before="0" w:after="283"/>
              <w:ind w:left="0" w:right="0" w:hanging="0"/>
              <w:jc w:val="right"/>
              <w:rPr>
                <w:sz w:val="20"/>
              </w:rPr>
            </w:pPr>
            <w:r>
              <w:rPr>
                <w:sz w:val="20"/>
              </w:rPr>
              <w:t>17</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sz w:val="20"/>
              </w:rPr>
            </w:pPr>
            <w:r>
              <w:rPr>
                <w:sz w:val="20"/>
              </w:rPr>
              <w:t>$</w:t>
            </w:r>
          </w:p>
        </w:tc>
        <w:tc>
          <w:tcPr>
            <w:tcW w:w="692" w:type="dxa"/>
            <w:tcBorders/>
            <w:shd w:fill="CCEEFF" w:val="clear"/>
            <w:vAlign w:val="center"/>
          </w:tcPr>
          <w:p>
            <w:pPr>
              <w:pStyle w:val="TableContents"/>
              <w:bidi w:val="0"/>
              <w:spacing w:before="0" w:after="283"/>
              <w:ind w:left="0" w:right="0" w:hanging="0"/>
              <w:jc w:val="right"/>
              <w:rPr>
                <w:sz w:val="20"/>
              </w:rPr>
            </w:pPr>
            <w:r>
              <w:rPr>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sz w:val="20"/>
              </w:rPr>
            </w:pPr>
            <w:r>
              <w:rPr>
                <w:sz w:val="20"/>
              </w:rPr>
              <w:t>$</w:t>
            </w:r>
          </w:p>
        </w:tc>
        <w:tc>
          <w:tcPr>
            <w:tcW w:w="634" w:type="dxa"/>
            <w:tcBorders/>
            <w:shd w:fill="CCEEFF" w:val="clear"/>
            <w:vAlign w:val="center"/>
          </w:tcPr>
          <w:p>
            <w:pPr>
              <w:pStyle w:val="TableContents"/>
              <w:bidi w:val="0"/>
              <w:spacing w:before="0" w:after="283"/>
              <w:ind w:left="0" w:right="0" w:hanging="0"/>
              <w:jc w:val="right"/>
              <w:rPr>
                <w:sz w:val="20"/>
              </w:rPr>
            </w:pPr>
            <w:r>
              <w:rPr>
                <w:sz w:val="20"/>
              </w:rPr>
              <w:t>34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sz w:val="20"/>
              </w:rPr>
            </w:pPr>
            <w:r>
              <w:rPr>
                <w:sz w:val="20"/>
              </w:rPr>
              <w:t>$</w:t>
            </w:r>
          </w:p>
        </w:tc>
        <w:tc>
          <w:tcPr>
            <w:tcW w:w="634" w:type="dxa"/>
            <w:tcBorders/>
            <w:shd w:fill="CCEEFF" w:val="clear"/>
            <w:vAlign w:val="center"/>
          </w:tcPr>
          <w:p>
            <w:pPr>
              <w:pStyle w:val="TableContents"/>
              <w:bidi w:val="0"/>
              <w:spacing w:before="0" w:after="283"/>
              <w:ind w:left="0" w:right="0" w:hanging="0"/>
              <w:jc w:val="right"/>
              <w:rPr>
                <w:sz w:val="20"/>
              </w:rPr>
            </w:pPr>
            <w:r>
              <w:rPr>
                <w:sz w:val="20"/>
              </w:rPr>
              <w:t>95</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336</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674</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353</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708</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Times;serif" w:hAnsi="Times New Roman;Times;serif"/>
          <w:sz w:val="20"/>
        </w:rPr>
        <w:t>11</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Accrued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2915"/>
        <w:gridCol w:w="60"/>
        <w:gridCol w:w="130"/>
        <w:gridCol w:w="504"/>
        <w:gridCol w:w="60"/>
        <w:gridCol w:w="60"/>
        <w:gridCol w:w="203"/>
        <w:gridCol w:w="791"/>
        <w:gridCol w:w="6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3,136</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grants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1,507</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Accrued CRO and clinical fees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198</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lease laboratory and office space and certain laboratory equipment under non-cancelable operating leases. The carrying value of our right-of-use lease assets is substantially concentrated in our real estate leases, while the volume of lease agreements is primarily concentrated in equipment leases. We expect that, in the normal course of business, the existing leases will be renewed or replaced by similar leases.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have leases for three real estate properties: (i) a laboratory and manufacturing facility lease that commenced in </w:t>
      </w:r>
      <w:r>
        <w:rPr>
          <w:rStyle w:val="Emphasis"/>
          <w:rFonts w:ascii="Times New Roman" w:hAnsi="Times New Roman"/>
          <w:caps w:val="false"/>
          <w:smallCaps w:val="false"/>
          <w:sz w:val="20"/>
        </w:rPr>
        <w:t xml:space="preserve">September 2021 </w:t>
      </w:r>
      <w:r>
        <w:rPr>
          <w:rFonts w:ascii="Times New Roman" w:hAnsi="Times New Roman"/>
          <w:caps w:val="false"/>
          <w:smallCaps w:val="false"/>
          <w:sz w:val="20"/>
        </w:rPr>
        <w:t xml:space="preserve">with a ten-year term and an option to extend for two five-year periods, (ii) a laboratory and manufacturing facility lease that commenced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with a seven-year term and an option to extend for two five-year periods, and (iii) our corporate office lease that commenced 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for seven years with an option to extend for five years.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the payments to be made in the option periods as part of the right-of-use asset or lease liability because the exercise of the option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certain.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our operating lease obligations had a weighted-average discount rate of 9.6% and 9.6%, respectively, and a weighted-average remaining term of 4.2 years and 4.6 years,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Maturity Analysis of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maturity analysis of our operating lease obligations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as follows:</w:t>
      </w:r>
    </w:p>
    <w:p>
      <w:pPr>
        <w:pStyle w:val="TextBody"/>
        <w:bidi w:val="0"/>
        <w:spacing w:before="0" w:after="0"/>
        <w:ind w:left="0" w:right="0" w:hanging="0"/>
        <w:jc w:val="both"/>
        <w:rPr>
          <w:caps w:val="false"/>
          <w:smallCaps w:val="false"/>
        </w:rPr>
      </w:pPr>
      <w:r>
        <w:rPr>
          <w:caps w:val="false"/>
          <w:smallCaps w:val="false"/>
        </w:rPr>
        <w:t> </w:t>
      </w:r>
    </w:p>
    <w:tbl>
      <w:tblPr>
        <w:tblW w:w="5144" w:type="dxa"/>
        <w:jc w:val="left"/>
        <w:tblInd w:w="0" w:type="dxa"/>
        <w:tblLayout w:type="fixed"/>
        <w:tblCellMar>
          <w:top w:w="0" w:type="dxa"/>
          <w:left w:w="0" w:type="dxa"/>
          <w:bottom w:w="0" w:type="dxa"/>
          <w:right w:w="0" w:type="dxa"/>
        </w:tblCellMar>
      </w:tblPr>
      <w:tblGrid>
        <w:gridCol w:w="3770"/>
        <w:gridCol w:w="60"/>
        <w:gridCol w:w="252"/>
        <w:gridCol w:w="982"/>
        <w:gridCol w:w="80"/>
      </w:tblGrid>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interest/discounting</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minimum lease payments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lease obligations, current portion</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obligations, net of 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Components of Lease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components of lease costs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6129" w:type="dxa"/>
        <w:jc w:val="left"/>
        <w:tblInd w:w="0" w:type="dxa"/>
        <w:tblLayout w:type="fixed"/>
        <w:tblCellMar>
          <w:top w:w="0" w:type="dxa"/>
          <w:left w:w="0" w:type="dxa"/>
          <w:bottom w:w="0" w:type="dxa"/>
          <w:right w:w="0" w:type="dxa"/>
        </w:tblCellMar>
      </w:tblPr>
      <w:tblGrid>
        <w:gridCol w:w="1775"/>
        <w:gridCol w:w="60"/>
        <w:gridCol w:w="258"/>
        <w:gridCol w:w="692"/>
        <w:gridCol w:w="124"/>
        <w:gridCol w:w="124"/>
        <w:gridCol w:w="258"/>
        <w:gridCol w:w="692"/>
        <w:gridCol w:w="60"/>
        <w:gridCol w:w="60"/>
        <w:gridCol w:w="236"/>
        <w:gridCol w:w="634"/>
        <w:gridCol w:w="113"/>
        <w:gridCol w:w="113"/>
        <w:gridCol w:w="236"/>
        <w:gridCol w:w="634"/>
        <w:gridCol w:w="60"/>
      </w:tblGrid>
      <w:tr>
        <w:trPr/>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sz w:val="20"/>
              </w:rPr>
            </w:pPr>
            <w:r>
              <w:rPr>
                <w:sz w:val="20"/>
              </w:rPr>
              <w:t>256</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sz w:val="20"/>
              </w:rPr>
            </w:pPr>
            <w:r>
              <w:rPr>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sz w:val="20"/>
              </w:rPr>
            </w:pPr>
            <w:r>
              <w:rPr>
                <w:sz w:val="20"/>
              </w:rPr>
              <w:t>$</w:t>
            </w:r>
          </w:p>
        </w:tc>
        <w:tc>
          <w:tcPr>
            <w:tcW w:w="634" w:type="dxa"/>
            <w:tcBorders/>
            <w:shd w:fill="CCEEFF" w:val="clear"/>
            <w:vAlign w:val="center"/>
          </w:tcPr>
          <w:p>
            <w:pPr>
              <w:pStyle w:val="TableContents"/>
              <w:bidi w:val="0"/>
              <w:spacing w:before="0" w:after="283"/>
              <w:ind w:left="0" w:right="0" w:hanging="0"/>
              <w:jc w:val="right"/>
              <w:rPr>
                <w:sz w:val="20"/>
              </w:rPr>
            </w:pPr>
            <w:r>
              <w:rPr>
                <w:sz w:val="20"/>
              </w:rPr>
              <w:t>510</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sz w:val="20"/>
              </w:rPr>
            </w:pPr>
            <w:r>
              <w:rPr>
                <w:sz w:val="20"/>
              </w:rPr>
              <w:t>$</w:t>
            </w:r>
          </w:p>
        </w:tc>
        <w:tc>
          <w:tcPr>
            <w:tcW w:w="634" w:type="dxa"/>
            <w:tcBorders/>
            <w:shd w:fill="CCEEFF" w:val="clear"/>
            <w:vAlign w:val="center"/>
          </w:tcPr>
          <w:p>
            <w:pPr>
              <w:pStyle w:val="TableContents"/>
              <w:bidi w:val="0"/>
              <w:spacing w:before="0" w:after="283"/>
              <w:ind w:left="0" w:right="0" w:hanging="0"/>
              <w:jc w:val="right"/>
              <w:rPr>
                <w:sz w:val="20"/>
              </w:rPr>
            </w:pPr>
            <w:r>
              <w:rPr>
                <w:sz w:val="20"/>
              </w:rPr>
              <w:t>508</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sz w:val="20"/>
              </w:rPr>
            </w:pPr>
            <w:r>
              <w:rPr>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sz w:val="20"/>
              </w:rPr>
            </w:pPr>
            <w:r>
              <w:rPr>
                <w:sz w:val="20"/>
              </w:rPr>
              <w:t>2</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79</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136</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161</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335</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646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12</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Supplemental Cash Flow Information</w:t>
      </w:r>
    </w:p>
    <w:p>
      <w:pPr>
        <w:pStyle w:val="TextBody"/>
        <w:bidi w:val="0"/>
        <w:spacing w:before="0" w:after="0"/>
        <w:ind w:left="0" w:right="0" w:hanging="0"/>
        <w:jc w:val="both"/>
        <w:rPr>
          <w:caps w:val="false"/>
          <w:smallCaps w:val="false"/>
        </w:rPr>
      </w:pPr>
      <w:r>
        <w:rPr>
          <w:caps w:val="false"/>
          <w:smallCaps w:val="false"/>
        </w:rPr>
        <w:t> </w:t>
      </w:r>
    </w:p>
    <w:tbl>
      <w:tblPr>
        <w:tblW w:w="5592" w:type="dxa"/>
        <w:jc w:val="left"/>
        <w:tblInd w:w="0" w:type="dxa"/>
        <w:tblLayout w:type="fixed"/>
        <w:tblCellMar>
          <w:top w:w="0" w:type="dxa"/>
          <w:left w:w="0" w:type="dxa"/>
          <w:bottom w:w="0" w:type="dxa"/>
          <w:right w:w="0" w:type="dxa"/>
        </w:tblCellMar>
      </w:tblPr>
      <w:tblGrid>
        <w:gridCol w:w="3485"/>
        <w:gridCol w:w="60"/>
        <w:gridCol w:w="208"/>
        <w:gridCol w:w="659"/>
        <w:gridCol w:w="133"/>
        <w:gridCol w:w="100"/>
        <w:gridCol w:w="208"/>
        <w:gridCol w:w="659"/>
        <w:gridCol w:w="8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Notes Payable and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Our notes payable and convertible notes payable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5"/>
        <w:gridCol w:w="60"/>
        <w:gridCol w:w="91"/>
        <w:gridCol w:w="749"/>
        <w:gridCol w:w="185"/>
        <w:gridCol w:w="60"/>
        <w:gridCol w:w="125"/>
        <w:gridCol w:w="590"/>
        <w:gridCol w:w="80"/>
        <w:gridCol w:w="60"/>
        <w:gridCol w:w="165"/>
        <w:gridCol w:w="791"/>
        <w:gridCol w:w="84"/>
      </w:tblGrid>
      <w:tr>
        <w:trPr/>
        <w:tc>
          <w:tcPr>
            <w:tcW w:w="7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Stated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 except interest rates)</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Interest Rate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2025</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Notes payable: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Cecil County, Maryland (commenced April 2019)</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Maryland DHCD (commenced February 2019)</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w:t>
            </w:r>
          </w:p>
        </w:tc>
        <w:tc>
          <w:tcPr>
            <w:tcW w:w="84"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Maryland DHCD (commenced May 2022)</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Secured Promissory Notes (commenced December 2024)</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3,678</w:t>
            </w:r>
          </w:p>
        </w:tc>
        <w:tc>
          <w:tcPr>
            <w:tcW w:w="84" w:type="dxa"/>
            <w:tcBorders/>
            <w:shd w:fill="CCEEFF" w:val="clear"/>
            <w:vAlign w:val="center"/>
          </w:tcPr>
          <w:p>
            <w:pPr>
              <w:pStyle w:val="TableContents"/>
              <w:bidi w:val="0"/>
              <w:spacing w:before="0" w:after="0"/>
              <w:jc w:val="left"/>
              <w:rPr/>
            </w:pPr>
            <w:r>
              <w:rPr/>
              <w:t> </w:t>
            </w:r>
          </w:p>
        </w:tc>
      </w:tr>
      <w:tr>
        <w:trPr/>
        <w:tc>
          <w:tcPr>
            <w:tcW w:w="7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Secured Promissory Notes (commenced August 2025)</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7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595</w:t>
            </w:r>
          </w:p>
        </w:tc>
        <w:tc>
          <w:tcPr>
            <w:tcW w:w="84" w:type="dxa"/>
            <w:tcBorders/>
            <w:shd w:fill="FFFFFF" w:val="clear"/>
            <w:vAlign w:val="center"/>
          </w:tcPr>
          <w:p>
            <w:pPr>
              <w:pStyle w:val="TableContents"/>
              <w:bidi w:val="0"/>
              <w:spacing w:before="0" w:after="0"/>
              <w:jc w:val="left"/>
              <w:rPr/>
            </w:pPr>
            <w:r>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5,937</w:t>
            </w:r>
          </w:p>
        </w:tc>
        <w:tc>
          <w:tcPr>
            <w:tcW w:w="84"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Unamortized discount and debt issuance costs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Less notes payable, current portion, net of unamortized discount and debt issuance costs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payable, net of current portion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Convertible notes payable: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Maryland DHCD (commenced December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4"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Secured Convertible Promissory Notes (commenced December 2024)</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7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6,832</w:t>
            </w:r>
          </w:p>
        </w:tc>
        <w:tc>
          <w:tcPr>
            <w:tcW w:w="84" w:type="dxa"/>
            <w:tcBorders/>
            <w:shd w:fill="FFFFFF" w:val="clear"/>
            <w:vAlign w:val="center"/>
          </w:tcPr>
          <w:p>
            <w:pPr>
              <w:pStyle w:val="TableContents"/>
              <w:bidi w:val="0"/>
              <w:spacing w:before="0" w:after="0"/>
              <w:jc w:val="left"/>
              <w:rPr/>
            </w:pPr>
            <w:r>
              <w:rPr/>
              <w:t> </w:t>
            </w:r>
          </w:p>
        </w:tc>
      </w:tr>
      <w:tr>
        <w:trPr/>
        <w:tc>
          <w:tcPr>
            <w:tcW w:w="7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Secured Convertible Promissory Notes (commenced August 2025)</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w:t>
            </w:r>
          </w:p>
        </w:tc>
        <w:tc>
          <w:tcPr>
            <w:tcW w:w="84" w:type="dxa"/>
            <w:tcBorders/>
            <w:shd w:fill="CCEEFF" w:val="clear"/>
            <w:vAlign w:val="center"/>
          </w:tcPr>
          <w:p>
            <w:pPr>
              <w:pStyle w:val="TableContents"/>
              <w:bidi w:val="0"/>
              <w:spacing w:before="0" w:after="0"/>
              <w:jc w:val="left"/>
              <w:rPr/>
            </w:pPr>
            <w:r>
              <w:rPr/>
              <w:t> </w:t>
            </w:r>
          </w:p>
        </w:tc>
      </w:tr>
      <w:tr>
        <w:trPr/>
        <w:tc>
          <w:tcPr>
            <w:tcW w:w="7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13,119</w:t>
            </w:r>
          </w:p>
        </w:tc>
        <w:tc>
          <w:tcPr>
            <w:tcW w:w="84"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Unamortized discount and debt issuance costs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convertible notes payable, current portion, net of unamortized discount and 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749" w:type="dxa"/>
            <w:tcBorders/>
            <w:shd w:fill="FFFFFF" w:val="clear"/>
            <w:vAlign w:val="center"/>
          </w:tcPr>
          <w:p>
            <w:pPr>
              <w:pStyle w:val="TableContents"/>
              <w:bidi w:val="0"/>
              <w:spacing w:before="0" w:after="0"/>
              <w:ind w:left="0" w:right="0" w:hanging="0"/>
              <w:jc w:val="right"/>
              <w:rPr/>
            </w:pPr>
            <w:r>
              <w:rPr>
                <w:rStyle w:val="Emphasis"/>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(2,378</w:t>
            </w:r>
          </w:p>
        </w:tc>
        <w:tc>
          <w:tcPr>
            <w:tcW w:w="8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6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Our interest expense on notes payable and convertible notes payable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10076" w:type="dxa"/>
        <w:jc w:val="left"/>
        <w:tblInd w:w="0" w:type="dxa"/>
        <w:tblLayout w:type="fixed"/>
        <w:tblCellMar>
          <w:top w:w="0" w:type="dxa"/>
          <w:left w:w="0" w:type="dxa"/>
          <w:bottom w:w="0" w:type="dxa"/>
          <w:right w:w="0" w:type="dxa"/>
        </w:tblCellMar>
      </w:tblPr>
      <w:tblGrid>
        <w:gridCol w:w="5720"/>
        <w:gridCol w:w="60"/>
        <w:gridCol w:w="258"/>
        <w:gridCol w:w="692"/>
        <w:gridCol w:w="124"/>
        <w:gridCol w:w="124"/>
        <w:gridCol w:w="258"/>
        <w:gridCol w:w="692"/>
        <w:gridCol w:w="60"/>
        <w:gridCol w:w="60"/>
        <w:gridCol w:w="183"/>
        <w:gridCol w:w="713"/>
        <w:gridCol w:w="88"/>
        <w:gridCol w:w="88"/>
        <w:gridCol w:w="183"/>
        <w:gridCol w:w="713"/>
        <w:gridCol w:w="60"/>
      </w:tblGrid>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notes payable: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on notes payable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convertible notes payable: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interest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6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on convertible notes payable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6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on notes payable and convertible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13</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Maryland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2019, </w:t>
      </w:r>
      <w:r>
        <w:rPr>
          <w:rFonts w:ascii="Times New Roman" w:hAnsi="Times New Roman"/>
          <w:caps w:val="false"/>
          <w:smallCaps w:val="false"/>
          <w:sz w:val="20"/>
        </w:rPr>
        <w:t xml:space="preserve">we entered into a term loan agreement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Loan”) with Cecil County, Maryland, for $0.1 million bearing simple interest at an annual rate of 8.00%.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Loan matures in full on </w:t>
      </w:r>
      <w:r>
        <w:rPr>
          <w:rStyle w:val="Emphasis"/>
          <w:rFonts w:ascii="Times New Roman" w:hAnsi="Times New Roman"/>
          <w:caps w:val="false"/>
          <w:smallCaps w:val="false"/>
          <w:sz w:val="20"/>
        </w:rPr>
        <w:t xml:space="preserve">April 30, 2034, </w:t>
      </w:r>
      <w:r>
        <w:rPr>
          <w:rFonts w:ascii="Times New Roman" w:hAnsi="Times New Roman"/>
          <w:caps w:val="false"/>
          <w:smallCaps w:val="false"/>
          <w:sz w:val="20"/>
        </w:rPr>
        <w:t xml:space="preserve">with the repayment amount equal to the greater of (i) principal plus accrued interest or (ii) an amount equal to the fair market value of 1,199 shares of our common stock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Phantom Shares”).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Loan was recorded at principal plus accrued interest as it was greater than the value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Phantom Shares.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2019, </w:t>
      </w:r>
      <w:r>
        <w:rPr>
          <w:rFonts w:ascii="Times New Roman" w:hAnsi="Times New Roman"/>
          <w:caps w:val="false"/>
          <w:smallCaps w:val="false"/>
          <w:sz w:val="20"/>
        </w:rPr>
        <w:t xml:space="preserve">we entered into a term loan agreement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Loan”) with the Department of Housing and Community Development (“DHCD”), a principal department of the State of Maryland, for $0.5 million bearing simple interest at an annual rate of 8.00%. We are subject to covenants until maturity, including limitations on our ability to retire, repurchase, or redeem our stock, options, and warrants other than per the terms of the securities; and limitations on our ability to pay dividends.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violation of any covenants.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Loan matures in full on </w:t>
      </w:r>
      <w:r>
        <w:rPr>
          <w:rStyle w:val="Emphasis"/>
          <w:rFonts w:ascii="Times New Roman" w:hAnsi="Times New Roman"/>
          <w:caps w:val="false"/>
          <w:smallCaps w:val="false"/>
          <w:sz w:val="20"/>
        </w:rPr>
        <w:t xml:space="preserve">February 22, 2034, </w:t>
      </w:r>
      <w:r>
        <w:rPr>
          <w:rFonts w:ascii="Times New Roman" w:hAnsi="Times New Roman"/>
          <w:caps w:val="false"/>
          <w:smallCaps w:val="false"/>
          <w:sz w:val="20"/>
        </w:rPr>
        <w:t xml:space="preserve">with the repayment amount equal to the greater of (i) principal plus accrued interest or (ii) an amount equal to the fair market value of 5,995 shares of our common stock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Phantom Shares”).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Loan was recorded at principal plus accrued interest as it was greater than the value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Phantom Shares.</w:t>
      </w:r>
    </w:p>
    <w:p>
      <w:pPr>
        <w:pStyle w:val="TextBody"/>
        <w:bidi w:val="0"/>
        <w:ind w:left="0" w:right="0" w:firstLine="500"/>
        <w:jc w:val="both"/>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we entered into a term loan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MD Loan”) with DHCD for up to $3.0 million bearing simple interest at an annual rate of 6.00% for the purchase of certain manufacturing equipment (the “Assets”). We drew a total of $1.0 million and our ability to draw the remaining $2.0 million expired in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payments, commencing </w:t>
      </w:r>
      <w:r>
        <w:rPr>
          <w:rStyle w:val="Emphasis"/>
          <w:rFonts w:ascii="Times New Roman" w:hAnsi="Times New Roman"/>
          <w:caps w:val="false"/>
          <w:smallCaps w:val="false"/>
          <w:sz w:val="20"/>
        </w:rPr>
        <w:t xml:space="preserve">July 1, 2022, </w:t>
      </w:r>
      <w:r>
        <w:rPr>
          <w:rFonts w:ascii="Times New Roman" w:hAnsi="Times New Roman"/>
          <w:caps w:val="false"/>
          <w:smallCaps w:val="false"/>
          <w:sz w:val="20"/>
        </w:rPr>
        <w:t xml:space="preserve">are deferred, followed by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monthly installments of interest-only based on the outstanding principal, each up to $15,000 maximum; followed by monthly installments of principal and interest in the amount of $33,306, payable for the lesser of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months or until the principal and accrued and unpaid interest is fully repaid, with a balloon payment of all remaining principal and unpaid interest due on the maturity date of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balance of accrued and unpaid interest was $50,000 and $50,000, respectively, and is recorded as part of the carrying amount of the loan. We recorded debt issuance costs of $31,000 as a debt discount.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we entered into a term loan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DHCD Loan”) with DHCD for $5.0 million bearing simple interest at an annual rate of 6.00%.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payments, commencing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are deferred, followed by </w:t>
      </w:r>
      <w:r>
        <w:rPr>
          <w:rStyle w:val="Emphasis"/>
          <w:rFonts w:ascii="Times New Roman" w:hAnsi="Times New Roman"/>
          <w:caps w:val="false"/>
          <w:smallCaps w:val="false"/>
          <w:sz w:val="20"/>
        </w:rPr>
        <w:t>48</w:t>
      </w:r>
      <w:r>
        <w:rPr>
          <w:rFonts w:ascii="Times New Roman" w:hAnsi="Times New Roman"/>
          <w:caps w:val="false"/>
          <w:smallCaps w:val="false"/>
          <w:sz w:val="20"/>
        </w:rPr>
        <w:t xml:space="preserve"> monthly installments of interest-only, with a balloon payment of all principal and unpaid interest due on the maturity date of </w:t>
      </w:r>
      <w:r>
        <w:rPr>
          <w:rStyle w:val="Emphasis"/>
          <w:rFonts w:ascii="Times New Roman" w:hAnsi="Times New Roman"/>
          <w:caps w:val="false"/>
          <w:smallCaps w:val="false"/>
          <w:sz w:val="20"/>
        </w:rPr>
        <w:t xml:space="preserve">January 1, 2028.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balance of accrued and unpaid interest was $0.3 million and $0.3 million, respectively, and is recorded as part of the carrying amount of the loan. At any time after </w:t>
      </w:r>
      <w:r>
        <w:rPr>
          <w:rStyle w:val="Emphasis"/>
          <w:rFonts w:ascii="Times New Roman" w:hAnsi="Times New Roman"/>
          <w:caps w:val="false"/>
          <w:smallCaps w:val="false"/>
          <w:sz w:val="20"/>
        </w:rPr>
        <w:t xml:space="preserve">December 8, 2023, </w:t>
      </w:r>
      <w:r>
        <w:rPr>
          <w:rFonts w:ascii="Times New Roman" w:hAnsi="Times New Roman"/>
          <w:caps w:val="false"/>
          <w:smallCaps w:val="false"/>
          <w:sz w:val="20"/>
        </w:rPr>
        <w:t xml:space="preserve">DHCD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its sole discretion, convert up to $5.0 million of principal into our common stock in increments of $1.0 million, at a price equal to the greater of: (i) 97% of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trailing volume weighted average price (“VWAP”) of our common stock; or (ii) $80.00 per share (the “DHCD Conversion Feature”). The DHCD Conversion Feature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requirements for derivative accounting. We recorded debt issuance costs of $0.1 million as a debt discount and the effective interest rate is 5.99%.</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Senior Secured Convertible Promissory Notes</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2024, </w:t>
      </w:r>
      <w:r>
        <w:rPr>
          <w:rFonts w:ascii="Times New Roman;Times;serif" w:hAnsi="Times New Roman;Times;serif"/>
          <w:sz w:val="20"/>
        </w:rPr>
        <w:t xml:space="preserve">we entered into a note purchase agreement pursuant to which we sold the </w:t>
      </w:r>
      <w:r>
        <w:rPr>
          <w:rStyle w:val="Emphasis"/>
          <w:rFonts w:ascii="Times New Roman;Times;serif" w:hAnsi="Times New Roman;Times;serif"/>
          <w:sz w:val="20"/>
        </w:rPr>
        <w:t>2024</w:t>
      </w:r>
      <w:r>
        <w:rPr>
          <w:rFonts w:ascii="Times New Roman;Times;serif" w:hAnsi="Times New Roman;Times;serif"/>
          <w:sz w:val="20"/>
        </w:rPr>
        <w:t xml:space="preserve"> SSCP Notes in a principal amount totaling $10.0 million and bearing interest at an annual rate of 12.00%, which we amended in </w:t>
      </w:r>
      <w:r>
        <w:rPr>
          <w:rStyle w:val="Emphasis"/>
          <w:rFonts w:ascii="Times New Roman;Times;serif" w:hAnsi="Times New Roman;Times;serif"/>
          <w:sz w:val="20"/>
        </w:rPr>
        <w:t>August 2025 (</w:t>
      </w:r>
      <w:r>
        <w:rPr>
          <w:rFonts w:ascii="Times New Roman;Times;serif" w:hAnsi="Times New Roman;Times;serif"/>
          <w:sz w:val="20"/>
        </w:rPr>
        <w:t xml:space="preserve">the “First </w:t>
      </w:r>
      <w:r>
        <w:rPr>
          <w:rStyle w:val="Emphasis"/>
          <w:rFonts w:ascii="Times New Roman;Times;serif" w:hAnsi="Times New Roman;Times;serif"/>
          <w:sz w:val="20"/>
        </w:rPr>
        <w:t>2024</w:t>
      </w:r>
      <w:r>
        <w:rPr>
          <w:rFonts w:ascii="Times New Roman;Times;serif" w:hAnsi="Times New Roman;Times;serif"/>
          <w:sz w:val="20"/>
        </w:rPr>
        <w:t xml:space="preserve"> SSCPN Amendment”) and in </w:t>
      </w:r>
      <w:r>
        <w:rPr>
          <w:rStyle w:val="Emphasis"/>
          <w:rFonts w:ascii="Times New Roman;Times;serif" w:hAnsi="Times New Roman;Times;serif"/>
          <w:sz w:val="20"/>
        </w:rPr>
        <w:t>May 2026 (</w:t>
      </w:r>
      <w:r>
        <w:rPr>
          <w:rFonts w:ascii="Times New Roman;Times;serif" w:hAnsi="Times New Roman;Times;serif"/>
          <w:sz w:val="20"/>
        </w:rPr>
        <w:t xml:space="preserve">the “Second </w:t>
      </w:r>
      <w:r>
        <w:rPr>
          <w:rStyle w:val="Emphasis"/>
          <w:rFonts w:ascii="Times New Roman;Times;serif" w:hAnsi="Times New Roman;Times;serif"/>
          <w:sz w:val="20"/>
        </w:rPr>
        <w:t>2024</w:t>
      </w:r>
      <w:r>
        <w:rPr>
          <w:rFonts w:ascii="Times New Roman;Times;serif" w:hAnsi="Times New Roman;Times;serif"/>
          <w:sz w:val="20"/>
        </w:rPr>
        <w:t xml:space="preserve"> SSCPN Amendment”). The </w:t>
      </w:r>
      <w:r>
        <w:rPr>
          <w:rStyle w:val="Emphasis"/>
          <w:rFonts w:ascii="Times New Roman;Times;serif" w:hAnsi="Times New Roman;Times;serif"/>
          <w:sz w:val="20"/>
        </w:rPr>
        <w:t>2024</w:t>
      </w:r>
      <w:r>
        <w:rPr>
          <w:rFonts w:ascii="Times New Roman;Times;serif" w:hAnsi="Times New Roman;Times;serif"/>
          <w:sz w:val="20"/>
        </w:rPr>
        <w:t xml:space="preserve"> SSCP Notes were sold to related parties, including: (i) Kensington Clene </w:t>
      </w:r>
      <w:r>
        <w:rPr>
          <w:rStyle w:val="Emphasis"/>
          <w:rFonts w:ascii="Times New Roman;Times;serif" w:hAnsi="Times New Roman;Times;serif"/>
          <w:sz w:val="20"/>
        </w:rPr>
        <w:t>2024,</w:t>
      </w:r>
      <w:r>
        <w:rPr>
          <w:rFonts w:ascii="Times New Roman;Times;serif" w:hAnsi="Times New Roman;Times;serif"/>
          <w:sz w:val="20"/>
        </w:rPr>
        <w:t xml:space="preserve"> LLC, an entity controlled by Alison Mosca, an independent director, (ii) </w:t>
      </w:r>
      <w:r>
        <w:rPr>
          <w:rStyle w:val="Emphasis"/>
          <w:rFonts w:ascii="Times New Roman;Times;serif" w:hAnsi="Times New Roman;Times;serif"/>
          <w:sz w:val="20"/>
        </w:rPr>
        <w:t>4Life,</w:t>
      </w:r>
      <w:r>
        <w:rPr>
          <w:rFonts w:ascii="Times New Roman;Times;serif" w:hAnsi="Times New Roman;Times;serif"/>
          <w:sz w:val="20"/>
        </w:rPr>
        <w:t xml:space="preserve"> and (iii) La Scala Investments, LLC. </w:t>
      </w:r>
      <w:r>
        <w:rPr>
          <w:rStyle w:val="Emphasis"/>
          <w:rFonts w:ascii="Times New Roman;Times;serif" w:hAnsi="Times New Roman;Times;serif"/>
          <w:sz w:val="20"/>
        </w:rPr>
        <w:t>4Life</w:t>
      </w:r>
      <w:r>
        <w:rPr>
          <w:rFonts w:ascii="Times New Roman;Times;serif" w:hAnsi="Times New Roman;Times;serif"/>
          <w:sz w:val="20"/>
        </w:rPr>
        <w:t xml:space="preserve"> and La Scala Investments, LLC, are controlled by David Lisonbee, who is also a stockholder and board member of a subsidiary of Clene. In accordance with the </w:t>
      </w:r>
      <w:r>
        <w:rPr>
          <w:rStyle w:val="Emphasis"/>
          <w:rFonts w:ascii="Times New Roman;Times;serif" w:hAnsi="Times New Roman;Times;serif"/>
          <w:sz w:val="20"/>
        </w:rPr>
        <w:t>2024</w:t>
      </w:r>
      <w:r>
        <w:rPr>
          <w:rFonts w:ascii="Times New Roman;Times;serif" w:hAnsi="Times New Roman;Times;serif"/>
          <w:sz w:val="20"/>
        </w:rPr>
        <w:t xml:space="preserve"> SSCP Note terms, we </w:t>
      </w:r>
      <w:r>
        <w:rPr>
          <w:rStyle w:val="Emphasis"/>
          <w:rFonts w:ascii="Times New Roman;Times;serif" w:hAnsi="Times New Roman;Times;serif"/>
          <w:sz w:val="20"/>
        </w:rPr>
        <w:t>first</w:t>
      </w:r>
      <w:r>
        <w:rPr>
          <w:rFonts w:ascii="Times New Roman;Times;serif" w:hAnsi="Times New Roman;Times;serif"/>
          <w:sz w:val="20"/>
        </w:rPr>
        <w:t xml:space="preserve"> used the proceeds to satisfy our obligations under a previous unrelated term loan. Pursuant to the Second </w:t>
      </w:r>
      <w:r>
        <w:rPr>
          <w:rStyle w:val="Emphasis"/>
          <w:rFonts w:ascii="Times New Roman;Times;serif" w:hAnsi="Times New Roman;Times;serif"/>
          <w:sz w:val="20"/>
        </w:rPr>
        <w:t>2024</w:t>
      </w:r>
      <w:r>
        <w:rPr>
          <w:rFonts w:ascii="Times New Roman;Times;serif" w:hAnsi="Times New Roman;Times;serif"/>
          <w:sz w:val="20"/>
        </w:rPr>
        <w:t xml:space="preserve"> SSCPN Amendment, the maturity date of the </w:t>
      </w:r>
      <w:r>
        <w:rPr>
          <w:rStyle w:val="Emphasis"/>
          <w:rFonts w:ascii="Times New Roman;Times;serif" w:hAnsi="Times New Roman;Times;serif"/>
          <w:sz w:val="20"/>
        </w:rPr>
        <w:t>2024</w:t>
      </w:r>
      <w:r>
        <w:rPr>
          <w:rFonts w:ascii="Times New Roman;Times;serif" w:hAnsi="Times New Roman;Times;serif"/>
          <w:sz w:val="20"/>
        </w:rPr>
        <w:t xml:space="preserve"> SSCP Notes was extended to the earlier of (i) </w:t>
      </w:r>
      <w:r>
        <w:rPr>
          <w:rStyle w:val="Emphasis"/>
          <w:rFonts w:ascii="Times New Roman;Times;serif" w:hAnsi="Times New Roman;Times;serif"/>
          <w:sz w:val="20"/>
        </w:rPr>
        <w:t xml:space="preserve">August 13, 2027 </w:t>
      </w:r>
      <w:r>
        <w:rPr>
          <w:rFonts w:ascii="Times New Roman;Times;serif" w:hAnsi="Times New Roman;Times;serif"/>
          <w:sz w:val="20"/>
        </w:rPr>
        <w:t xml:space="preserve">or (ii) upon a change in control transaction. Payments were interest-only for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12</w:t>
      </w:r>
      <w:r>
        <w:rPr>
          <w:rFonts w:ascii="Times New Roman;Times;serif" w:hAnsi="Times New Roman;Times;serif"/>
          <w:sz w:val="20"/>
        </w:rPr>
        <w:t xml:space="preserve"> months, and, pursuant to the First </w:t>
      </w:r>
      <w:r>
        <w:rPr>
          <w:rStyle w:val="Emphasis"/>
          <w:rFonts w:ascii="Times New Roman;Times;serif" w:hAnsi="Times New Roman;Times;serif"/>
          <w:sz w:val="20"/>
        </w:rPr>
        <w:t>2024</w:t>
      </w:r>
      <w:r>
        <w:rPr>
          <w:rFonts w:ascii="Times New Roman;Times;serif" w:hAnsi="Times New Roman;Times;serif"/>
          <w:sz w:val="20"/>
        </w:rPr>
        <w:t xml:space="preserve"> SSCPN Amendment, interest is capitalized monthly and added to the balance of the </w:t>
      </w:r>
      <w:r>
        <w:rPr>
          <w:rStyle w:val="Emphasis"/>
          <w:rFonts w:ascii="Times New Roman;Times;serif" w:hAnsi="Times New Roman;Times;serif"/>
          <w:sz w:val="20"/>
        </w:rPr>
        <w:t>2024</w:t>
      </w:r>
      <w:r>
        <w:rPr>
          <w:rFonts w:ascii="Times New Roman;Times;serif" w:hAnsi="Times New Roman;Times;serif"/>
          <w:sz w:val="20"/>
        </w:rPr>
        <w:t xml:space="preserve"> SSCP Notes beginning in </w:t>
      </w:r>
      <w:r>
        <w:rPr>
          <w:rStyle w:val="Emphasis"/>
          <w:rFonts w:ascii="Times New Roman;Times;serif" w:hAnsi="Times New Roman;Times;serif"/>
          <w:sz w:val="20"/>
        </w:rPr>
        <w:t xml:space="preserve">August 2025. </w:t>
      </w:r>
      <w:r>
        <w:rPr>
          <w:rFonts w:ascii="Times New Roman;Times;serif" w:hAnsi="Times New Roman;Times;serif"/>
          <w:sz w:val="20"/>
        </w:rPr>
        <w:t xml:space="preserve">Pursuant to the Second </w:t>
      </w:r>
      <w:r>
        <w:rPr>
          <w:rStyle w:val="Emphasis"/>
          <w:rFonts w:ascii="Times New Roman;Times;serif" w:hAnsi="Times New Roman;Times;serif"/>
          <w:sz w:val="20"/>
        </w:rPr>
        <w:t>2024</w:t>
      </w:r>
      <w:r>
        <w:rPr>
          <w:rFonts w:ascii="Times New Roman;Times;serif" w:hAnsi="Times New Roman;Times;serif"/>
          <w:sz w:val="20"/>
        </w:rPr>
        <w:t xml:space="preserve"> SSCPN Amendment, all principal and accrued interest payments were deferred until the maturity date. We recorded debt issuance costs of $1.5 million as a debt discount at the issuance date and an additional $0.7 million at the date of the First </w:t>
      </w:r>
      <w:r>
        <w:rPr>
          <w:rStyle w:val="Emphasis"/>
          <w:rFonts w:ascii="Times New Roman;Times;serif" w:hAnsi="Times New Roman;Times;serif"/>
          <w:sz w:val="20"/>
        </w:rPr>
        <w:t>2024</w:t>
      </w:r>
      <w:r>
        <w:rPr>
          <w:rFonts w:ascii="Times New Roman;Times;serif" w:hAnsi="Times New Roman;Times;serif"/>
          <w:sz w:val="20"/>
        </w:rPr>
        <w:t xml:space="preserve"> SSCPN Amendment.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the balance of accrued and unpaid interest was $1.2 million and $0.5 million, respectively, and is recorded as part of the carrying amount of the </w:t>
      </w:r>
      <w:r>
        <w:rPr>
          <w:rStyle w:val="Emphasis"/>
          <w:rFonts w:ascii="Times New Roman;Times;serif" w:hAnsi="Times New Roman;Times;serif"/>
          <w:sz w:val="20"/>
        </w:rPr>
        <w:t>2024</w:t>
      </w:r>
      <w:r>
        <w:rPr>
          <w:rFonts w:ascii="Times New Roman;Times;serif" w:hAnsi="Times New Roman;Times;serif"/>
          <w:sz w:val="20"/>
        </w:rPr>
        <w:t xml:space="preserve"> SSCP Notes. The First </w:t>
      </w:r>
      <w:r>
        <w:rPr>
          <w:rStyle w:val="Emphasis"/>
          <w:rFonts w:ascii="Times New Roman;Times;serif" w:hAnsi="Times New Roman;Times;serif"/>
          <w:sz w:val="20"/>
        </w:rPr>
        <w:t>2024</w:t>
      </w:r>
      <w:r>
        <w:rPr>
          <w:rFonts w:ascii="Times New Roman;Times;serif" w:hAnsi="Times New Roman;Times;serif"/>
          <w:sz w:val="20"/>
        </w:rPr>
        <w:t xml:space="preserve"> SSCPN Amendment was accounted for as a troubled debt restructuring under ASC </w:t>
      </w:r>
      <w:r>
        <w:rPr>
          <w:rStyle w:val="Emphasis"/>
          <w:rFonts w:ascii="Times New Roman;Times;serif" w:hAnsi="Times New Roman;Times;serif"/>
          <w:sz w:val="20"/>
        </w:rPr>
        <w:t>470,</w:t>
      </w:r>
      <w:r>
        <w:rPr>
          <w:rFonts w:ascii="Times New Roman;Times;serif" w:hAnsi="Times New Roman;Times;serif"/>
          <w:sz w:val="20"/>
        </w:rPr>
        <w:t xml:space="preserve"> </w:t>
      </w:r>
      <w:r>
        <w:rPr>
          <w:rFonts w:ascii="Times New Roman;Times;serif" w:hAnsi="Times New Roman;Times;serif"/>
          <w:i/>
          <w:sz w:val="20"/>
        </w:rPr>
        <w:t>Debt</w:t>
      </w:r>
      <w:r>
        <w:rPr>
          <w:rFonts w:ascii="Times New Roman;Times;serif" w:hAnsi="Times New Roman;Times;serif"/>
          <w:sz w:val="20"/>
        </w:rPr>
        <w:t xml:space="preserve"> (“ASC </w:t>
      </w:r>
      <w:r>
        <w:rPr>
          <w:rStyle w:val="Emphasis"/>
          <w:rFonts w:ascii="Times New Roman;Times;serif" w:hAnsi="Times New Roman;Times;serif"/>
          <w:sz w:val="20"/>
        </w:rPr>
        <w:t>470”</w:t>
      </w:r>
      <w:r>
        <w:rPr>
          <w:rFonts w:ascii="Times New Roman;Times;serif" w:hAnsi="Times New Roman;Times;serif"/>
          <w:sz w:val="20"/>
        </w:rPr>
        <w:t xml:space="preserve">), with </w:t>
      </w:r>
      <w:r>
        <w:rPr>
          <w:rStyle w:val="Emphasis"/>
          <w:rFonts w:ascii="Times New Roman;Times;serif" w:hAnsi="Times New Roman;Times;serif"/>
          <w:sz w:val="20"/>
        </w:rPr>
        <w:t>no</w:t>
      </w:r>
      <w:r>
        <w:rPr>
          <w:rFonts w:ascii="Times New Roman;Times;serif" w:hAnsi="Times New Roman;Times;serif"/>
          <w:sz w:val="20"/>
        </w:rPr>
        <w:t xml:space="preserve"> restructuring gain required to be recognized as the future cash payments were greater than the carrying amount of the </w:t>
      </w:r>
      <w:r>
        <w:rPr>
          <w:rStyle w:val="Emphasis"/>
          <w:rFonts w:ascii="Times New Roman;Times;serif" w:hAnsi="Times New Roman;Times;serif"/>
          <w:sz w:val="20"/>
        </w:rPr>
        <w:t>2024</w:t>
      </w:r>
      <w:r>
        <w:rPr>
          <w:rFonts w:ascii="Times New Roman;Times;serif" w:hAnsi="Times New Roman;Times;serif"/>
          <w:sz w:val="20"/>
        </w:rPr>
        <w:t xml:space="preserve"> SSCP Notes. The Second </w:t>
      </w:r>
      <w:r>
        <w:rPr>
          <w:rStyle w:val="Emphasis"/>
          <w:rFonts w:ascii="Times New Roman;Times;serif" w:hAnsi="Times New Roman;Times;serif"/>
          <w:sz w:val="20"/>
        </w:rPr>
        <w:t>2024</w:t>
      </w:r>
      <w:r>
        <w:rPr>
          <w:rFonts w:ascii="Times New Roman;Times;serif" w:hAnsi="Times New Roman;Times;serif"/>
          <w:sz w:val="20"/>
        </w:rPr>
        <w:t xml:space="preserve"> SSCPN Amendment was accounted for as a debt modification under ASC </w:t>
      </w:r>
      <w:r>
        <w:rPr>
          <w:rStyle w:val="Emphasis"/>
          <w:rFonts w:ascii="Times New Roman;Times;serif" w:hAnsi="Times New Roman;Times;serif"/>
          <w:sz w:val="20"/>
        </w:rPr>
        <w:t>470,</w:t>
      </w:r>
      <w:r>
        <w:rPr>
          <w:rFonts w:ascii="Times New Roman;Times;serif" w:hAnsi="Times New Roman;Times;serif"/>
          <w:sz w:val="20"/>
        </w:rPr>
        <w:t xml:space="preserve"> with a change in fair value of separated derivative instruments (discussed below) of $1.6 million recorded as a loss in earnings.</w:t>
      </w:r>
    </w:p>
    <w:p>
      <w:pPr>
        <w:pStyle w:val="TextBody"/>
        <w:bidi w:val="0"/>
        <w:spacing w:before="0" w:after="0"/>
        <w:ind w:left="0" w:right="0" w:firstLine="500"/>
        <w:jc w:val="both"/>
        <w:rPr/>
      </w:pPr>
      <w:r>
        <w:rPr/>
        <w:t> </w:t>
      </w:r>
    </w:p>
    <w:p>
      <w:pPr>
        <w:pStyle w:val="TextBody"/>
        <w:bidi w:val="0"/>
        <w:spacing w:before="0" w:after="0"/>
        <w:jc w:val="center"/>
        <w:rPr/>
      </w:pPr>
      <w:r>
        <w:rPr>
          <w:rStyle w:val="Emphasis"/>
          <w:rFonts w:ascii="Times New Roman;Times;serif" w:hAnsi="Times New Roman;Times;serif"/>
          <w:sz w:val="20"/>
        </w:rPr>
        <w:t>14</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August 2025, </w:t>
      </w:r>
      <w:r>
        <w:rPr>
          <w:rFonts w:ascii="Times New Roman;Times;serif" w:hAnsi="Times New Roman;Times;serif"/>
          <w:sz w:val="20"/>
        </w:rPr>
        <w:t xml:space="preserve">we entered into a note purchase agreement pursuant to which we sold senior secured convertible promissory notes (the </w:t>
      </w:r>
      <w:r>
        <w:rPr>
          <w:rStyle w:val="Emphasis"/>
          <w:rFonts w:ascii="Times New Roman;Times;serif" w:hAnsi="Times New Roman;Times;serif"/>
          <w:sz w:val="20"/>
        </w:rPr>
        <w:t>“2025</w:t>
      </w:r>
      <w:r>
        <w:rPr>
          <w:rFonts w:ascii="Times New Roman;Times;serif" w:hAnsi="Times New Roman;Times;serif"/>
          <w:sz w:val="20"/>
        </w:rPr>
        <w:t xml:space="preserve"> SSCP Notes,” and together with the </w:t>
      </w:r>
      <w:r>
        <w:rPr>
          <w:rStyle w:val="Emphasis"/>
          <w:rFonts w:ascii="Times New Roman;Times;serif" w:hAnsi="Times New Roman;Times;serif"/>
          <w:sz w:val="20"/>
        </w:rPr>
        <w:t>2024</w:t>
      </w:r>
      <w:r>
        <w:rPr>
          <w:rFonts w:ascii="Times New Roman;Times;serif" w:hAnsi="Times New Roman;Times;serif"/>
          <w:sz w:val="20"/>
        </w:rPr>
        <w:t xml:space="preserve"> SSCP Notes, the “SSCP Notes”) in a principal amount totaling $1.5 million and bearing interest at an annual rate of 12.00%, which we amended in </w:t>
      </w:r>
      <w:r>
        <w:rPr>
          <w:rStyle w:val="Emphasis"/>
          <w:rFonts w:ascii="Times New Roman;Times;serif" w:hAnsi="Times New Roman;Times;serif"/>
          <w:sz w:val="20"/>
        </w:rPr>
        <w:t>May 2026 (</w:t>
      </w:r>
      <w:r>
        <w:rPr>
          <w:rFonts w:ascii="Times New Roman;Times;serif" w:hAnsi="Times New Roman;Times;serif"/>
          <w:sz w:val="20"/>
        </w:rPr>
        <w:t xml:space="preserve">the “First </w:t>
      </w:r>
      <w:r>
        <w:rPr>
          <w:rStyle w:val="Emphasis"/>
          <w:rFonts w:ascii="Times New Roman;Times;serif" w:hAnsi="Times New Roman;Times;serif"/>
          <w:sz w:val="20"/>
        </w:rPr>
        <w:t>2025</w:t>
      </w:r>
      <w:r>
        <w:rPr>
          <w:rFonts w:ascii="Times New Roman;Times;serif" w:hAnsi="Times New Roman;Times;serif"/>
          <w:sz w:val="20"/>
        </w:rPr>
        <w:t xml:space="preserve"> SSCPN Amendment”). Interest is capitalized monthly and added to the balance of the </w:t>
      </w:r>
      <w:r>
        <w:rPr>
          <w:rStyle w:val="Emphasis"/>
          <w:rFonts w:ascii="Times New Roman;Times;serif" w:hAnsi="Times New Roman;Times;serif"/>
          <w:sz w:val="20"/>
        </w:rPr>
        <w:t>2025</w:t>
      </w:r>
      <w:r>
        <w:rPr>
          <w:rFonts w:ascii="Times New Roman;Times;serif" w:hAnsi="Times New Roman;Times;serif"/>
          <w:sz w:val="20"/>
        </w:rPr>
        <w:t xml:space="preserve"> SSCP Notes. Pursuant to the First </w:t>
      </w:r>
      <w:r>
        <w:rPr>
          <w:rStyle w:val="Emphasis"/>
          <w:rFonts w:ascii="Times New Roman;Times;serif" w:hAnsi="Times New Roman;Times;serif"/>
          <w:sz w:val="20"/>
        </w:rPr>
        <w:t>2025</w:t>
      </w:r>
      <w:r>
        <w:rPr>
          <w:rFonts w:ascii="Times New Roman;Times;serif" w:hAnsi="Times New Roman;Times;serif"/>
          <w:sz w:val="20"/>
        </w:rPr>
        <w:t xml:space="preserve"> SSCPN Amendment, (i) the maturity date of the </w:t>
      </w:r>
      <w:r>
        <w:rPr>
          <w:rStyle w:val="Emphasis"/>
          <w:rFonts w:ascii="Times New Roman;Times;serif" w:hAnsi="Times New Roman;Times;serif"/>
          <w:sz w:val="20"/>
        </w:rPr>
        <w:t>2025</w:t>
      </w:r>
      <w:r>
        <w:rPr>
          <w:rFonts w:ascii="Times New Roman;Times;serif" w:hAnsi="Times New Roman;Times;serif"/>
          <w:sz w:val="20"/>
        </w:rPr>
        <w:t xml:space="preserve"> SSCP Notes was extended to the earlier of (A) </w:t>
      </w:r>
      <w:r>
        <w:rPr>
          <w:rStyle w:val="Emphasis"/>
          <w:rFonts w:ascii="Times New Roman;Times;serif" w:hAnsi="Times New Roman;Times;serif"/>
          <w:sz w:val="20"/>
        </w:rPr>
        <w:t xml:space="preserve">August 13, 2027 </w:t>
      </w:r>
      <w:r>
        <w:rPr>
          <w:rFonts w:ascii="Times New Roman;Times;serif" w:hAnsi="Times New Roman;Times;serif"/>
          <w:sz w:val="20"/>
        </w:rPr>
        <w:t xml:space="preserve">or (B) upon a change in control transaction, and (ii) monthly payments totaling $150,000 per month, which were scheduled to commence in </w:t>
      </w:r>
      <w:r>
        <w:rPr>
          <w:rStyle w:val="Emphasis"/>
          <w:rFonts w:ascii="Times New Roman;Times;serif" w:hAnsi="Times New Roman;Times;serif"/>
          <w:sz w:val="20"/>
        </w:rPr>
        <w:t xml:space="preserve">September 2026, </w:t>
      </w:r>
      <w:r>
        <w:rPr>
          <w:rFonts w:ascii="Times New Roman;Times;serif" w:hAnsi="Times New Roman;Times;serif"/>
          <w:sz w:val="20"/>
        </w:rPr>
        <w:t xml:space="preserve">were deferred until the maturity date. We recorded debt issuance costs of $0.2 million as a debt discount.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the balance of accrued and unpaid interest was $0.2 million and $0.1 million, respectively, and is recorded as part of the carrying amount of the notes. The First </w:t>
      </w:r>
      <w:r>
        <w:rPr>
          <w:rStyle w:val="Emphasis"/>
          <w:rFonts w:ascii="Times New Roman;Times;serif" w:hAnsi="Times New Roman;Times;serif"/>
          <w:sz w:val="20"/>
        </w:rPr>
        <w:t>2025</w:t>
      </w:r>
      <w:r>
        <w:rPr>
          <w:rFonts w:ascii="Times New Roman;Times;serif" w:hAnsi="Times New Roman;Times;serif"/>
          <w:sz w:val="20"/>
        </w:rPr>
        <w:t xml:space="preserve"> SSCPN Amendment was accounted for as a debt modification under ASC </w:t>
      </w:r>
      <w:r>
        <w:rPr>
          <w:rStyle w:val="Emphasis"/>
          <w:rFonts w:ascii="Times New Roman;Times;serif" w:hAnsi="Times New Roman;Times;serif"/>
          <w:sz w:val="20"/>
        </w:rPr>
        <w:t>470,</w:t>
      </w:r>
      <w:r>
        <w:rPr>
          <w:rFonts w:ascii="Times New Roman;Times;serif" w:hAnsi="Times New Roman;Times;serif"/>
          <w:sz w:val="20"/>
        </w:rPr>
        <w:t xml:space="preserve"> with a change in fair value of separated derivative instruments (discussed below) of $0.2 million recorded as a loss in earnings.</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We are subject to covenants until maturity, including a requirement to maintain unrestricted cash and cash equivalents of at least $2.0 million pursuant to the </w:t>
      </w:r>
      <w:r>
        <w:rPr>
          <w:rStyle w:val="Emphasis"/>
          <w:rFonts w:ascii="Times New Roman;Times;serif" w:hAnsi="Times New Roman;Times;serif"/>
          <w:sz w:val="20"/>
        </w:rPr>
        <w:t>2024</w:t>
      </w:r>
      <w:r>
        <w:rPr>
          <w:rFonts w:ascii="Times New Roman;Times;serif" w:hAnsi="Times New Roman;Times;serif"/>
          <w:sz w:val="20"/>
        </w:rPr>
        <w:t xml:space="preserve"> SSCP Notes. We are </w:t>
      </w:r>
      <w:r>
        <w:rPr>
          <w:rStyle w:val="Emphasis"/>
          <w:rFonts w:ascii="Times New Roman;Times;serif" w:hAnsi="Times New Roman;Times;serif"/>
          <w:sz w:val="20"/>
        </w:rPr>
        <w:t>not</w:t>
      </w:r>
      <w:r>
        <w:rPr>
          <w:rFonts w:ascii="Times New Roman;Times;serif" w:hAnsi="Times New Roman;Times;serif"/>
          <w:sz w:val="20"/>
        </w:rPr>
        <w:t xml:space="preserve"> in violation of any covenants. If certain events of default occur and are continuing, the holders of a majority of the outstanding principal balance </w:t>
      </w:r>
      <w:r>
        <w:rPr>
          <w:rStyle w:val="Emphasis"/>
          <w:rFonts w:ascii="Times New Roman;Times;serif" w:hAnsi="Times New Roman;Times;serif"/>
          <w:sz w:val="20"/>
        </w:rPr>
        <w:t xml:space="preserve">may </w:t>
      </w:r>
      <w:r>
        <w:rPr>
          <w:rFonts w:ascii="Times New Roman;Times;serif" w:hAnsi="Times New Roman;Times;serif"/>
          <w:sz w:val="20"/>
        </w:rPr>
        <w:t xml:space="preserve">accelerate all obligations under the SSCP Notes, plus a penalty equal to 10% of all outstanding principal and accrued and unpaid interest (the “SSCPN Default Feature”). The SSCP Notes are collateralized by substantially all our tangible and intangible property and rights (the “Collateral”). During the continuance of an event of default, if the Collateral is sold or otherwise disposed of and the proceeds thereof are insufficient to satisfy our obligations under the SSCP Notes, we shall be liable for any deficiency, together with additional interest thereon at the rate of 10% per annum (the “SSCPN Collateral Deficiency Fee”). We account for the SSCPN Collateral Deficiency Fee as a contingent liability (see Note </w:t>
      </w:r>
      <w:r>
        <w:rPr>
          <w:rStyle w:val="Emphasis"/>
          <w:rFonts w:ascii="Times New Roman;Times;serif" w:hAnsi="Times New Roman;Times;serif"/>
          <w:sz w:val="20"/>
        </w:rPr>
        <w:t>9</w:t>
      </w:r>
      <w:r>
        <w:rPr>
          <w:rFonts w:ascii="Times New Roman;Times;serif" w:hAnsi="Times New Roman;Times;serif"/>
          <w:sz w:val="20"/>
        </w:rPr>
        <w:t>).</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The holders of SSCP Notes </w:t>
      </w:r>
      <w:r>
        <w:rPr>
          <w:rStyle w:val="Emphasis"/>
          <w:rFonts w:ascii="Times New Roman;Times;serif" w:hAnsi="Times New Roman;Times;serif"/>
          <w:sz w:val="20"/>
        </w:rPr>
        <w:t xml:space="preserve">may, </w:t>
      </w:r>
      <w:r>
        <w:rPr>
          <w:rFonts w:ascii="Times New Roman;Times;serif" w:hAnsi="Times New Roman;Times;serif"/>
          <w:sz w:val="20"/>
        </w:rPr>
        <w:t xml:space="preserve">in their sole discretion, convert up to (i) 65% of the outstanding balance of principal and accrued interest of the </w:t>
      </w:r>
      <w:r>
        <w:rPr>
          <w:rStyle w:val="Emphasis"/>
          <w:rFonts w:ascii="Times New Roman;Times;serif" w:hAnsi="Times New Roman;Times;serif"/>
          <w:sz w:val="20"/>
        </w:rPr>
        <w:t>2024</w:t>
      </w:r>
      <w:r>
        <w:rPr>
          <w:rFonts w:ascii="Times New Roman;Times;serif" w:hAnsi="Times New Roman;Times;serif"/>
          <w:sz w:val="20"/>
        </w:rPr>
        <w:t xml:space="preserve"> SSCP Notes into the number of shares of our common stock equal to the amount to be converted divided by (A) $5.668 for principal or (B) $4.44 for accrued interest, and (ii) 65% of the outstanding principal balance of the </w:t>
      </w:r>
      <w:r>
        <w:rPr>
          <w:rStyle w:val="Emphasis"/>
          <w:rFonts w:ascii="Times New Roman;Times;serif" w:hAnsi="Times New Roman;Times;serif"/>
          <w:sz w:val="20"/>
        </w:rPr>
        <w:t>2025</w:t>
      </w:r>
      <w:r>
        <w:rPr>
          <w:rFonts w:ascii="Times New Roman;Times;serif" w:hAnsi="Times New Roman;Times;serif"/>
          <w:sz w:val="20"/>
        </w:rPr>
        <w:t xml:space="preserve"> SSCP Notes into the number of shares of our common stock equal to the amount to be converted divided by $4.44 (the “SSCPN Conversion Feature”). Notwithstanding, in the event a holder declines to convert its pro rata share, the remaining holders </w:t>
      </w:r>
      <w:r>
        <w:rPr>
          <w:rStyle w:val="Emphasis"/>
          <w:rFonts w:ascii="Times New Roman;Times;serif" w:hAnsi="Times New Roman;Times;serif"/>
          <w:sz w:val="20"/>
        </w:rPr>
        <w:t xml:space="preserve">may </w:t>
      </w:r>
      <w:r>
        <w:rPr>
          <w:rFonts w:ascii="Times New Roman;Times;serif" w:hAnsi="Times New Roman;Times;serif"/>
          <w:sz w:val="20"/>
        </w:rPr>
        <w:t xml:space="preserve">convert additional amounts, provided that </w:t>
      </w:r>
      <w:r>
        <w:rPr>
          <w:rStyle w:val="Emphasis"/>
          <w:rFonts w:ascii="Times New Roman;Times;serif" w:hAnsi="Times New Roman;Times;serif"/>
          <w:sz w:val="20"/>
        </w:rPr>
        <w:t>no</w:t>
      </w:r>
      <w:r>
        <w:rPr>
          <w:rFonts w:ascii="Times New Roman;Times;serif" w:hAnsi="Times New Roman;Times;serif"/>
          <w:sz w:val="20"/>
        </w:rPr>
        <w:t xml:space="preserve"> aggregate converted amount exceeds (i) 65% of the outstanding balance of principal and accrued interest for the </w:t>
      </w:r>
      <w:r>
        <w:rPr>
          <w:rStyle w:val="Emphasis"/>
          <w:rFonts w:ascii="Times New Roman;Times;serif" w:hAnsi="Times New Roman;Times;serif"/>
          <w:sz w:val="20"/>
        </w:rPr>
        <w:t>2024</w:t>
      </w:r>
      <w:r>
        <w:rPr>
          <w:rFonts w:ascii="Times New Roman;Times;serif" w:hAnsi="Times New Roman;Times;serif"/>
          <w:sz w:val="20"/>
        </w:rPr>
        <w:t xml:space="preserve"> SSCP Notes or (ii) $975,000 for the </w:t>
      </w:r>
      <w:r>
        <w:rPr>
          <w:rStyle w:val="Emphasis"/>
          <w:rFonts w:ascii="Times New Roman;Times;serif" w:hAnsi="Times New Roman;Times;serif"/>
          <w:sz w:val="20"/>
        </w:rPr>
        <w:t>2025</w:t>
      </w:r>
      <w:r>
        <w:rPr>
          <w:rFonts w:ascii="Times New Roman;Times;serif" w:hAnsi="Times New Roman;Times;serif"/>
          <w:sz w:val="20"/>
        </w:rPr>
        <w:t xml:space="preserve"> SSCP Notes. In the event of a change in control or any bankruptcy, liquidation, or other restructuring process, the holders </w:t>
      </w:r>
      <w:r>
        <w:rPr>
          <w:rStyle w:val="Emphasis"/>
          <w:rFonts w:ascii="Times New Roman;Times;serif" w:hAnsi="Times New Roman;Times;serif"/>
          <w:sz w:val="20"/>
        </w:rPr>
        <w:t xml:space="preserve">may, </w:t>
      </w:r>
      <w:r>
        <w:rPr>
          <w:rFonts w:ascii="Times New Roman;Times;serif" w:hAnsi="Times New Roman;Times;serif"/>
          <w:sz w:val="20"/>
        </w:rPr>
        <w:t xml:space="preserve">at their option, (i) convert up to 65% of outstanding balance of principal and accrued interest for the </w:t>
      </w:r>
      <w:r>
        <w:rPr>
          <w:rStyle w:val="Emphasis"/>
          <w:rFonts w:ascii="Times New Roman;Times;serif" w:hAnsi="Times New Roman;Times;serif"/>
          <w:sz w:val="20"/>
        </w:rPr>
        <w:t>2024</w:t>
      </w:r>
      <w:r>
        <w:rPr>
          <w:rFonts w:ascii="Times New Roman;Times;serif" w:hAnsi="Times New Roman;Times;serif"/>
          <w:sz w:val="20"/>
        </w:rPr>
        <w:t xml:space="preserve"> SSCP Notes and up to 65% of the outstanding principal for the </w:t>
      </w:r>
      <w:r>
        <w:rPr>
          <w:rStyle w:val="Emphasis"/>
          <w:rFonts w:ascii="Times New Roman;Times;serif" w:hAnsi="Times New Roman;Times;serif"/>
          <w:sz w:val="20"/>
        </w:rPr>
        <w:t>2025</w:t>
      </w:r>
      <w:r>
        <w:rPr>
          <w:rFonts w:ascii="Times New Roman;Times;serif" w:hAnsi="Times New Roman;Times;serif"/>
          <w:sz w:val="20"/>
        </w:rPr>
        <w:t xml:space="preserve"> SSCP Notes into our common stock, (ii) receive a cash payment equal to 115% of the outstanding balance of principal and accrued interest for the </w:t>
      </w:r>
      <w:r>
        <w:rPr>
          <w:rStyle w:val="Emphasis"/>
          <w:rFonts w:ascii="Times New Roman;Times;serif" w:hAnsi="Times New Roman;Times;serif"/>
          <w:sz w:val="20"/>
        </w:rPr>
        <w:t>2024</w:t>
      </w:r>
      <w:r>
        <w:rPr>
          <w:rFonts w:ascii="Times New Roman;Times;serif" w:hAnsi="Times New Roman;Times;serif"/>
          <w:sz w:val="20"/>
        </w:rPr>
        <w:t xml:space="preserve"> SSCP Notes and 115% of the outstanding principal for the </w:t>
      </w:r>
      <w:r>
        <w:rPr>
          <w:rStyle w:val="Emphasis"/>
          <w:rFonts w:ascii="Times New Roman;Times;serif" w:hAnsi="Times New Roman;Times;serif"/>
          <w:sz w:val="20"/>
        </w:rPr>
        <w:t>2025</w:t>
      </w:r>
      <w:r>
        <w:rPr>
          <w:rFonts w:ascii="Times New Roman;Times;serif" w:hAnsi="Times New Roman;Times;serif"/>
          <w:sz w:val="20"/>
        </w:rPr>
        <w:t xml:space="preserve"> SSCP Notes, or (iii) any combination thereof, prior to such monetization event, before any security or claim junior to the SSCP Notes shall receive any proceeds from such monetization event (the “SSCPN Redemption Feature,” collectively with the SSCPN Conversion Feature and SSCPN Default Feature, the “SSCPN Derivative Liabilities”). The SSCPN Derivative Liabilities met the requirements to be separated as derivative instruments and measured at fair value (see Note </w:t>
      </w:r>
      <w:r>
        <w:rPr>
          <w:rStyle w:val="Emphasis"/>
          <w:rFonts w:ascii="Times New Roman;Times;serif" w:hAnsi="Times New Roman;Times;serif"/>
          <w:sz w:val="20"/>
        </w:rPr>
        <w:t>12</w:t>
      </w:r>
      <w:r>
        <w:rPr>
          <w:rFonts w:ascii="Times New Roman;Times;serif" w:hAnsi="Times New Roman;Times;serif"/>
          <w:sz w:val="20"/>
        </w:rPr>
        <w:t xml:space="preserve">). The issuance date fair value of the SSCPN Derivative Liabilities was (i) $1.4 million for the </w:t>
      </w:r>
      <w:r>
        <w:rPr>
          <w:rStyle w:val="Emphasis"/>
          <w:rFonts w:ascii="Times New Roman;Times;serif" w:hAnsi="Times New Roman;Times;serif"/>
          <w:sz w:val="20"/>
        </w:rPr>
        <w:t>2024</w:t>
      </w:r>
      <w:r>
        <w:rPr>
          <w:rFonts w:ascii="Times New Roman;Times;serif" w:hAnsi="Times New Roman;Times;serif"/>
          <w:sz w:val="20"/>
        </w:rPr>
        <w:t xml:space="preserve"> SSCP Notes and (ii) $0.2 million for the </w:t>
      </w:r>
      <w:r>
        <w:rPr>
          <w:rStyle w:val="Emphasis"/>
          <w:rFonts w:ascii="Times New Roman;Times;serif" w:hAnsi="Times New Roman;Times;serif"/>
          <w:sz w:val="20"/>
        </w:rPr>
        <w:t>2025</w:t>
      </w:r>
      <w:r>
        <w:rPr>
          <w:rFonts w:ascii="Times New Roman;Times;serif" w:hAnsi="Times New Roman;Times;serif"/>
          <w:sz w:val="20"/>
        </w:rPr>
        <w:t xml:space="preserve"> SSCP Notes and was recorded as a debt discount. The effective interest rates of the </w:t>
      </w:r>
      <w:r>
        <w:rPr>
          <w:rStyle w:val="Emphasis"/>
          <w:rFonts w:ascii="Times New Roman;Times;serif" w:hAnsi="Times New Roman;Times;serif"/>
          <w:sz w:val="20"/>
        </w:rPr>
        <w:t>2024</w:t>
      </w:r>
      <w:r>
        <w:rPr>
          <w:rFonts w:ascii="Times New Roman;Times;serif" w:hAnsi="Times New Roman;Times;serif"/>
          <w:sz w:val="20"/>
        </w:rPr>
        <w:t xml:space="preserve"> SSCP Notes and </w:t>
      </w:r>
      <w:r>
        <w:rPr>
          <w:rStyle w:val="Emphasis"/>
          <w:rFonts w:ascii="Times New Roman;Times;serif" w:hAnsi="Times New Roman;Times;serif"/>
          <w:sz w:val="20"/>
        </w:rPr>
        <w:t>2025</w:t>
      </w:r>
      <w:r>
        <w:rPr>
          <w:rFonts w:ascii="Times New Roman;Times;serif" w:hAnsi="Times New Roman;Times;serif"/>
          <w:sz w:val="20"/>
        </w:rPr>
        <w:t xml:space="preserve"> SSCP Notes are 18.08% and 18.78%, respectively.</w:t>
      </w:r>
    </w:p>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Times;serif" w:hAnsi="Times New Roman;Times;serif"/>
          <w:sz w:val="20"/>
        </w:rPr>
        <w:t xml:space="preserve">We are required to file and maintain an effective registration statement covering the resale of the shares underlying the SSCPN Conversion Feature or we shall pay the holders a penalty equal to 2% of the face value of the </w:t>
      </w:r>
      <w:r>
        <w:rPr>
          <w:rStyle w:val="Emphasis"/>
          <w:rFonts w:ascii="Times New Roman;Times;serif" w:hAnsi="Times New Roman;Times;serif"/>
          <w:sz w:val="20"/>
        </w:rPr>
        <w:t>2024</w:t>
      </w:r>
      <w:r>
        <w:rPr>
          <w:rFonts w:ascii="Times New Roman;Times;serif" w:hAnsi="Times New Roman;Times;serif"/>
          <w:sz w:val="20"/>
        </w:rPr>
        <w:t xml:space="preserve"> SSCP Notes or </w:t>
      </w:r>
      <w:r>
        <w:rPr>
          <w:rStyle w:val="Emphasis"/>
          <w:rFonts w:ascii="Times New Roman;Times;serif" w:hAnsi="Times New Roman;Times;serif"/>
          <w:sz w:val="20"/>
        </w:rPr>
        <w:t>2025</w:t>
      </w:r>
      <w:r>
        <w:rPr>
          <w:rFonts w:ascii="Times New Roman;Times;serif" w:hAnsi="Times New Roman;Times;serif"/>
          <w:sz w:val="20"/>
        </w:rPr>
        <w:t xml:space="preserve"> SSCP Notes, as applicable, upon the occurrence of any such failure and for each </w:t>
      </w:r>
      <w:r>
        <w:rPr>
          <w:rStyle w:val="Emphasis"/>
          <w:rFonts w:ascii="Times New Roman;Times;serif" w:hAnsi="Times New Roman;Times;serif"/>
          <w:sz w:val="20"/>
        </w:rPr>
        <w:t>30</w:t>
      </w:r>
      <w:r>
        <w:rPr>
          <w:rFonts w:ascii="Times New Roman;Times;serif" w:hAnsi="Times New Roman;Times;serif"/>
          <w:sz w:val="20"/>
        </w:rPr>
        <w:t xml:space="preserve">-day period during which such failure is continuing (the “SSCPN Registration Fee”). The aggregate penalty will in </w:t>
      </w:r>
      <w:r>
        <w:rPr>
          <w:rStyle w:val="Emphasis"/>
          <w:rFonts w:ascii="Times New Roman;Times;serif" w:hAnsi="Times New Roman;Times;serif"/>
          <w:sz w:val="20"/>
        </w:rPr>
        <w:t>no</w:t>
      </w:r>
      <w:r>
        <w:rPr>
          <w:rFonts w:ascii="Times New Roman;Times;serif" w:hAnsi="Times New Roman;Times;serif"/>
          <w:sz w:val="20"/>
        </w:rPr>
        <w:t xml:space="preserve"> event exceed 10% of the face value of the </w:t>
      </w:r>
      <w:r>
        <w:rPr>
          <w:rStyle w:val="Emphasis"/>
          <w:rFonts w:ascii="Times New Roman;Times;serif" w:hAnsi="Times New Roman;Times;serif"/>
          <w:sz w:val="20"/>
        </w:rPr>
        <w:t>2024</w:t>
      </w:r>
      <w:r>
        <w:rPr>
          <w:rFonts w:ascii="Times New Roman;Times;serif" w:hAnsi="Times New Roman;Times;serif"/>
          <w:sz w:val="20"/>
        </w:rPr>
        <w:t xml:space="preserve"> SSCP Notes or the </w:t>
      </w:r>
      <w:r>
        <w:rPr>
          <w:rStyle w:val="Emphasis"/>
          <w:rFonts w:ascii="Times New Roman;Times;serif" w:hAnsi="Times New Roman;Times;serif"/>
          <w:sz w:val="20"/>
        </w:rPr>
        <w:t>2025</w:t>
      </w:r>
      <w:r>
        <w:rPr>
          <w:rFonts w:ascii="Times New Roman;Times;serif" w:hAnsi="Times New Roman;Times;serif"/>
          <w:sz w:val="20"/>
        </w:rPr>
        <w:t xml:space="preserve"> SSCP Notes, as applicable. We account for the SSCPN Registration Fee as a registration payment arrangement to be evaluated as a contingent liability (see Note </w:t>
      </w:r>
      <w:r>
        <w:rPr>
          <w:rStyle w:val="Emphasis"/>
          <w:rFonts w:ascii="Times New Roman;Times;serif" w:hAnsi="Times New Roman;Times;serif"/>
          <w:sz w:val="20"/>
        </w:rPr>
        <w:t>9</w:t>
      </w:r>
      <w:r>
        <w:rPr>
          <w:rFonts w:ascii="Times New Roman;Times;serif" w:hAnsi="Times New Roman;Times;serif"/>
          <w:sz w:val="20"/>
        </w:rPr>
        <w:t>).</w:t>
      </w:r>
    </w:p>
    <w:p>
      <w:pPr>
        <w:pStyle w:val="TextBody"/>
        <w:bidi w:val="0"/>
        <w:spacing w:before="0" w:after="0"/>
        <w:ind w:left="0" w:right="0" w:firstLine="500"/>
        <w:jc w:val="both"/>
        <w:rPr/>
      </w:pPr>
      <w:r>
        <w:rPr/>
        <w:t> </w:t>
      </w:r>
    </w:p>
    <w:p>
      <w:pPr>
        <w:pStyle w:val="TextBody"/>
        <w:bidi w:val="0"/>
        <w:spacing w:before="0" w:after="0"/>
        <w:jc w:val="center"/>
        <w:rPr/>
      </w:pPr>
      <w:r>
        <w:rPr>
          <w:rStyle w:val="Emphasis"/>
          <w:rFonts w:ascii="Times New Roman;Times;serif" w:hAnsi="Times New Roman;Times;serif"/>
          <w:sz w:val="20"/>
        </w:rPr>
        <w:t>15</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Maturities</w:t>
      </w:r>
    </w:p>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Future debt payments, net of unamortized discounts and debt issuance costs, without giving effect to any potential future exercise of equity conversion features, are as follows:</w:t>
      </w:r>
    </w:p>
    <w:p>
      <w:pPr>
        <w:pStyle w:val="TextBody"/>
        <w:bidi w:val="0"/>
        <w:spacing w:before="0" w:after="0"/>
        <w:ind w:left="0" w:right="0" w:firstLine="500"/>
        <w:jc w:val="both"/>
        <w:rPr/>
      </w:pPr>
      <w:r>
        <w:rPr/>
        <w:t> </w:t>
      </w:r>
    </w:p>
    <w:tbl>
      <w:tblPr>
        <w:tblW w:w="10205" w:type="dxa"/>
        <w:jc w:val="left"/>
        <w:tblInd w:w="0" w:type="dxa"/>
        <w:tblLayout w:type="fixed"/>
        <w:tblCellMar>
          <w:top w:w="0" w:type="dxa"/>
          <w:left w:w="0" w:type="dxa"/>
          <w:bottom w:w="0" w:type="dxa"/>
          <w:right w:w="0" w:type="dxa"/>
        </w:tblCellMar>
      </w:tblPr>
      <w:tblGrid>
        <w:gridCol w:w="2723"/>
        <w:gridCol w:w="60"/>
        <w:gridCol w:w="238"/>
        <w:gridCol w:w="640"/>
        <w:gridCol w:w="60"/>
        <w:gridCol w:w="60"/>
        <w:gridCol w:w="251"/>
        <w:gridCol w:w="674"/>
        <w:gridCol w:w="60"/>
        <w:gridCol w:w="60"/>
        <w:gridCol w:w="238"/>
        <w:gridCol w:w="640"/>
        <w:gridCol w:w="80"/>
        <w:gridCol w:w="60"/>
        <w:gridCol w:w="218"/>
        <w:gridCol w:w="848"/>
        <w:gridCol w:w="80"/>
        <w:gridCol w:w="60"/>
        <w:gridCol w:w="184"/>
        <w:gridCol w:w="872"/>
        <w:gridCol w:w="80"/>
        <w:gridCol w:w="60"/>
        <w:gridCol w:w="208"/>
        <w:gridCol w:w="810"/>
        <w:gridCol w:w="80"/>
        <w:gridCol w:w="60"/>
        <w:gridCol w:w="125"/>
        <w:gridCol w:w="590"/>
        <w:gridCol w:w="86"/>
      </w:tblGrid>
      <w:tr>
        <w:trPr/>
        <w:tc>
          <w:tcPr>
            <w:tcW w:w="272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2019 MD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2019 Cecil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 MD 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 DHCD 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 SSCP Notes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 SSCP Notes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6" w:type="dxa"/>
            <w:tcBorders/>
            <w:shd w:fill="FFFFFF" w:val="clear"/>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6" w:type="dxa"/>
            <w:tcBorders/>
            <w:shd w:fill="CCEEFF" w:val="clear"/>
            <w:vAlign w:val="center"/>
          </w:tcPr>
          <w:p>
            <w:pPr>
              <w:pStyle w:val="TableContents"/>
              <w:bidi w:val="0"/>
              <w:spacing w:before="0" w:after="283"/>
              <w:jc w:val="left"/>
              <w:rPr/>
            </w:pPr>
            <w:r>
              <w:rPr/>
              <w:t> </w:t>
            </w:r>
          </w:p>
        </w:tc>
      </w:tr>
      <w:tr>
        <w:trPr/>
        <w:tc>
          <w:tcPr>
            <w:tcW w:w="27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11,817</w:t>
            </w:r>
          </w:p>
        </w:tc>
        <w:tc>
          <w:tcPr>
            <w:tcW w:w="86" w:type="dxa"/>
            <w:tcBorders/>
            <w:shd w:fill="FFFFFF" w:val="clear"/>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6" w:type="dxa"/>
            <w:tcBorders/>
            <w:shd w:fill="CCEEFF" w:val="clear"/>
            <w:vAlign w:val="center"/>
          </w:tcPr>
          <w:p>
            <w:pPr>
              <w:pStyle w:val="TableContents"/>
              <w:bidi w:val="0"/>
              <w:spacing w:before="0" w:after="283"/>
              <w:jc w:val="left"/>
              <w:rPr/>
            </w:pPr>
            <w:r>
              <w:rPr/>
              <w:t> </w:t>
            </w:r>
          </w:p>
        </w:tc>
      </w:tr>
      <w:tr>
        <w:trPr/>
        <w:tc>
          <w:tcPr>
            <w:tcW w:w="27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27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6" w:type="dxa"/>
            <w:tcBorders/>
            <w:shd w:fill="CCEEFF" w:val="clear"/>
            <w:vAlign w:val="center"/>
          </w:tcPr>
          <w:p>
            <w:pPr>
              <w:pStyle w:val="TableContents"/>
              <w:bidi w:val="0"/>
              <w:spacing w:before="0" w:after="283"/>
              <w:jc w:val="left"/>
              <w:rPr/>
            </w:pPr>
            <w:r>
              <w:rPr/>
              <w:t> </w:t>
            </w:r>
          </w:p>
        </w:tc>
      </w:tr>
      <w:tr>
        <w:trPr/>
        <w:tc>
          <w:tcPr>
            <w:tcW w:w="27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principal payments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17,604</w:t>
            </w:r>
          </w:p>
        </w:tc>
        <w:tc>
          <w:tcPr>
            <w:tcW w:w="86" w:type="dxa"/>
            <w:tcBorders/>
            <w:shd w:fill="FFFFFF" w:val="clear"/>
            <w:vAlign w:val="center"/>
          </w:tcPr>
          <w:p>
            <w:pPr>
              <w:pStyle w:val="TableContents"/>
              <w:bidi w:val="0"/>
              <w:spacing w:before="0" w:after="283"/>
              <w:jc w:val="left"/>
              <w:rPr/>
            </w:pPr>
            <w:r>
              <w:rPr/>
              <w:t> </w:t>
            </w:r>
          </w:p>
        </w:tc>
      </w:tr>
      <w:tr>
        <w:trPr/>
        <w:tc>
          <w:tcPr>
            <w:tcW w:w="2723"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unpaid interest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w:t>
            </w:r>
          </w:p>
        </w:tc>
        <w:tc>
          <w:tcPr>
            <w:tcW w:w="86" w:type="dxa"/>
            <w:tcBorders/>
            <w:shd w:fill="CCEEFF" w:val="clear"/>
            <w:vAlign w:val="center"/>
          </w:tcPr>
          <w:p>
            <w:pPr>
              <w:pStyle w:val="TableContents"/>
              <w:bidi w:val="0"/>
              <w:spacing w:before="0" w:after="283"/>
              <w:jc w:val="left"/>
              <w:rPr/>
            </w:pPr>
            <w:r>
              <w:rPr/>
              <w:t> </w:t>
            </w:r>
          </w:p>
        </w:tc>
      </w:tr>
      <w:tr>
        <w:trPr/>
        <w:tc>
          <w:tcPr>
            <w:tcW w:w="272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discount and debt issuance costs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debt payments,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18,724</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significant.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had commitments under various agreements for capital expenditures totaling $1.6 million and $0.2 million, respectively, related to the construction of our manufacturing facilities.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From time to time,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certain contingent legal liabilities that arise in the ordinary course of business activities. We accrue a liability for such matters when it is probable that future expenditures will be made, and such expenditures can be reasonably estimated.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current material pending legal matters or claims.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received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grants from the National Multiple Sclerosis Society (“NMSS”): (i) $0.3 million in </w:t>
      </w:r>
      <w:r>
        <w:rPr>
          <w:rStyle w:val="Emphasis"/>
          <w:rFonts w:ascii="Times New Roman" w:hAnsi="Times New Roman"/>
          <w:caps w:val="false"/>
          <w:smallCaps w:val="false"/>
          <w:sz w:val="20"/>
        </w:rPr>
        <w:t>September 2019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Grant”) for our VISIONARY-MS clinical trial, and (ii) $0.7 million in </w:t>
      </w:r>
      <w:r>
        <w:rPr>
          <w:rStyle w:val="Emphasis"/>
          <w:rFonts w:ascii="Times New Roman" w:hAnsi="Times New Roman"/>
          <w:caps w:val="false"/>
          <w:smallCaps w:val="false"/>
          <w:sz w:val="20"/>
        </w:rPr>
        <w:t>May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“2023</w:t>
      </w:r>
      <w:r>
        <w:rPr>
          <w:rFonts w:ascii="Times New Roman" w:hAnsi="Times New Roman"/>
          <w:caps w:val="false"/>
          <w:smallCaps w:val="false"/>
          <w:sz w:val="20"/>
        </w:rPr>
        <w:t> Grant”) for our REPAIR-MS clinical trial. Pursuant to the grants, if we make future commercial sales of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for MS, we will repay: (i) 50% of the grants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(ii) an additional 50% of the grants upon cumulative sales of $10.0 million, (iii) an additional 150% of the grants upon cumulative sales of $50.0 million, and (iv) an additional 200% of the grants upon cumulative sales of $100.0 million, with the maximum repayment of 450% of the grants if all milestones are achieved. If NMSS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aggregate repayments equal to 300%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Grant or 150% of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Grant, then the following events will trigger repayment of 300%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Grant, or $1.0 million, and 150% of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Grant, or $1.0 million, less any amounts previously paid: (i) sale of all or substantially all our assets and business, (ii) sale of any portion of our assets and business including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for MS treatment, (iii) exclusive licensing of our intellectual property claiming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for MS treatment, (iv) a collaboration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to develop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for MS treatment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Grant only), or (v) licensing of our commercialization rights to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for MS treatment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Grant only).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any of the above milestones. We account for these provisions in accordance with ASC </w:t>
      </w:r>
      <w:r>
        <w:rPr>
          <w:rStyle w:val="Emphasis"/>
          <w:rFonts w:ascii="Times New Roman" w:hAnsi="Times New Roman"/>
          <w:caps w:val="false"/>
          <w:smallCaps w:val="false"/>
          <w:sz w:val="20"/>
        </w:rPr>
        <w:t>450,</w:t>
      </w:r>
      <w:r>
        <w:rPr>
          <w:rFonts w:ascii="Times New Roman" w:hAnsi="Times New Roman"/>
          <w:caps w:val="false"/>
          <w:smallCaps w:val="false"/>
          <w:sz w:val="20"/>
        </w:rPr>
        <w:t xml:space="preserve"> </w:t>
      </w:r>
      <w:r>
        <w:rPr>
          <w:rFonts w:ascii="Times New Roman" w:hAnsi="Times New Roman"/>
          <w:i/>
          <w:caps w:val="false"/>
          <w:smallCaps w:val="false"/>
          <w:sz w:val="20"/>
        </w:rPr>
        <w:t>Contingencies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450”</w:t>
      </w:r>
      <w:r>
        <w:rPr>
          <w:rFonts w:ascii="Times New Roman" w:hAnsi="Times New Roman"/>
          <w:caps w:val="false"/>
          <w:smallCaps w:val="false"/>
          <w:sz w:val="20"/>
        </w:rPr>
        <w:t xml:space="preserve">). We assessed the likelihood of each event as less than probable and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contingent liability is recognized. Our estimate of the possible range of loss is between the minimum and maximum repayment amounts, equal to 50% and 450% of each grant, or approximately $0.2 million and $1.5 million for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Grant, respectively; and approximately $0.3 million and $3.0 million for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Grant, respectively. However, it is at least reasonably possible that our estimate of the likelihood of each contingent event and the possible range of loss will change in the near term.</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16</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We account for the SSCPN Collateral Deficiency Fee and SSCPN Registration Fee (see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as contingent liabilities in accordance with ASC </w:t>
      </w:r>
      <w:r>
        <w:rPr>
          <w:rStyle w:val="Emphasis"/>
          <w:rFonts w:ascii="Times New Roman" w:hAnsi="Times New Roman"/>
          <w:caps w:val="false"/>
          <w:smallCaps w:val="false"/>
          <w:sz w:val="20"/>
        </w:rPr>
        <w:t>450</w:t>
      </w:r>
      <w:r>
        <w:rPr>
          <w:rFonts w:ascii="Times New Roman" w:hAnsi="Times New Roman"/>
          <w:caps w:val="false"/>
          <w:smallCaps w:val="false"/>
          <w:sz w:val="20"/>
        </w:rPr>
        <w:t xml:space="preserve">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contingent liabilities were recorded. Our estimate of the possible range of loss for the SSCPN Registration Fee is between $0.2 million, which is equal to the loss upon initial failure to register the SSCPN Conversion Feature underlying shares, and $1.2 million, which is equal to the contractually-limited maximum loss upon continued failure to register the SSCPN Conversion Feature underlying shares.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estimate a possible range of loss for the SSCPN Collateral Deficiency Fee. It is at least reasonably possible that our estimate of the likelihood of each contingent event and the possible range of loss will change in the near term.</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components of loss before income taxes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2330"/>
        <w:gridCol w:w="60"/>
        <w:gridCol w:w="169"/>
        <w:gridCol w:w="881"/>
        <w:gridCol w:w="108"/>
        <w:gridCol w:w="81"/>
        <w:gridCol w:w="169"/>
        <w:gridCol w:w="739"/>
        <w:gridCol w:w="80"/>
        <w:gridCol w:w="60"/>
        <w:gridCol w:w="155"/>
        <w:gridCol w:w="807"/>
        <w:gridCol w:w="99"/>
        <w:gridCol w:w="74"/>
        <w:gridCol w:w="155"/>
        <w:gridCol w:w="677"/>
        <w:gridCol w:w="80"/>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sz w:val="20"/>
              </w:rPr>
            </w:pPr>
            <w:r>
              <w:rPr>
                <w:sz w:val="20"/>
              </w:rPr>
              <w:t>$</w:t>
            </w:r>
          </w:p>
        </w:tc>
        <w:tc>
          <w:tcPr>
            <w:tcW w:w="881" w:type="dxa"/>
            <w:tcBorders/>
            <w:shd w:fill="CCEEFF" w:val="clear"/>
            <w:vAlign w:val="center"/>
          </w:tcPr>
          <w:p>
            <w:pPr>
              <w:pStyle w:val="TableContents"/>
              <w:bidi w:val="0"/>
              <w:spacing w:before="0" w:after="283"/>
              <w:ind w:left="0" w:right="0" w:hanging="0"/>
              <w:jc w:val="right"/>
              <w:rPr>
                <w:sz w:val="20"/>
              </w:rPr>
            </w:pPr>
            <w:r>
              <w:rPr>
                <w:sz w:val="20"/>
              </w:rPr>
              <w:t>(13,377</w:t>
            </w:r>
          </w:p>
        </w:tc>
        <w:tc>
          <w:tcPr>
            <w:tcW w:w="108"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sz w:val="20"/>
              </w:rPr>
            </w:pPr>
            <w:r>
              <w:rPr>
                <w:sz w:val="20"/>
              </w:rPr>
              <w:t>$</w:t>
            </w:r>
          </w:p>
        </w:tc>
        <w:tc>
          <w:tcPr>
            <w:tcW w:w="739" w:type="dxa"/>
            <w:tcBorders/>
            <w:shd w:fill="CCEEFF" w:val="clear"/>
            <w:vAlign w:val="center"/>
          </w:tcPr>
          <w:p>
            <w:pPr>
              <w:pStyle w:val="TableContents"/>
              <w:bidi w:val="0"/>
              <w:spacing w:before="0" w:after="283"/>
              <w:ind w:left="0" w:right="0" w:hanging="0"/>
              <w:jc w:val="right"/>
              <w:rPr>
                <w:sz w:val="20"/>
              </w:rPr>
            </w:pPr>
            <w:r>
              <w:rPr>
                <w:sz w:val="20"/>
              </w:rPr>
              <w:t>(7,381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20"/>
              </w:rPr>
            </w:pPr>
            <w:r>
              <w:rPr>
                <w:sz w:val="20"/>
              </w:rPr>
              <w:t>$</w:t>
            </w:r>
          </w:p>
        </w:tc>
        <w:tc>
          <w:tcPr>
            <w:tcW w:w="807" w:type="dxa"/>
            <w:tcBorders/>
            <w:shd w:fill="CCEEFF" w:val="clear"/>
            <w:vAlign w:val="center"/>
          </w:tcPr>
          <w:p>
            <w:pPr>
              <w:pStyle w:val="TableContents"/>
              <w:bidi w:val="0"/>
              <w:spacing w:before="0" w:after="283"/>
              <w:ind w:left="0" w:right="0" w:hanging="0"/>
              <w:jc w:val="right"/>
              <w:rPr>
                <w:sz w:val="20"/>
              </w:rPr>
            </w:pPr>
            <w:r>
              <w:rPr>
                <w:sz w:val="20"/>
              </w:rPr>
              <w:t>(21,483</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20"/>
              </w:rPr>
            </w:pPr>
            <w:r>
              <w:rPr>
                <w:sz w:val="20"/>
              </w:rPr>
              <w:t>$</w:t>
            </w:r>
          </w:p>
        </w:tc>
        <w:tc>
          <w:tcPr>
            <w:tcW w:w="677" w:type="dxa"/>
            <w:tcBorders/>
            <w:shd w:fill="CCEEFF" w:val="clear"/>
            <w:vAlign w:val="center"/>
          </w:tcPr>
          <w:p>
            <w:pPr>
              <w:pStyle w:val="TableContents"/>
              <w:bidi w:val="0"/>
              <w:spacing w:before="0" w:after="283"/>
              <w:ind w:left="0" w:right="0" w:hanging="0"/>
              <w:jc w:val="right"/>
              <w:rPr>
                <w:sz w:val="20"/>
              </w:rPr>
            </w:pPr>
            <w:r>
              <w:rPr>
                <w:sz w:val="20"/>
              </w:rPr>
              <w:t>(8,082</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3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(47</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(88</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23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(13,424</w:t>
            </w:r>
          </w:p>
        </w:tc>
        <w:tc>
          <w:tcPr>
            <w:tcW w:w="108"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(7,419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(21,515</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(8,170</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are subject to taxation in the U.S., Australia, Netherlands, and various state jurisdictions. Our tax returns from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to present are subject to examination by U.S. and state authorities due to the carry forward of unutilized net operating losses and research and development credits. We currently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pending examinations. We compute our quarterly income tax provision by using a forecasted annual effective tax rate and adjust for any discrete items arising during the quarter. The primary difference between the effective tax rate and the federal statutory tax rate relates to the full valuation allowance on our net operating losses and other deferred tax assets.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401</w:t>
      </w:r>
      <w:r>
        <w:rPr>
          <w:rFonts w:ascii="Times New Roman" w:hAnsi="Times New Roman"/>
          <w:b/>
          <w:i/>
          <w:caps w:val="false"/>
          <w:smallCaps w:val="false"/>
          <w:sz w:val="20"/>
        </w:rPr>
        <w:t>(k)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Our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is a deferred salary arrangement under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We match 100% of a participating employee’s deferral contributions up to 3% of annual compensation, limited to $4,500 of matching contributions. Our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 totaled $52,000 and $48,000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$0.1 million and $0.1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Clene Nanomedicine,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Plan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was adopted in </w:t>
      </w:r>
      <w:r>
        <w:rPr>
          <w:rStyle w:val="Emphasis"/>
          <w:rFonts w:ascii="Times New Roman" w:hAnsi="Times New Roman"/>
          <w:caps w:val="false"/>
          <w:smallCaps w:val="false"/>
          <w:sz w:val="20"/>
        </w:rPr>
        <w:t xml:space="preserve">July 2014. </w:t>
      </w:r>
      <w:r>
        <w:rPr>
          <w:rFonts w:ascii="Times New Roman" w:hAnsi="Times New Roman"/>
          <w:caps w:val="false"/>
          <w:smallCaps w:val="false"/>
          <w:sz w:val="20"/>
        </w:rPr>
        <w:t xml:space="preserve">Effective as of the closing of the Reverse Recapitalization,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 total of 109,060 stock options remained outstanding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Clene Inc.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Amended Stock Plan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was adopted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and amended in </w:t>
      </w:r>
      <w:r>
        <w:rPr>
          <w:rStyle w:val="Emphasis"/>
          <w:rFonts w:ascii="Times New Roman" w:hAnsi="Times New Roman"/>
          <w:caps w:val="false"/>
          <w:smallCaps w:val="false"/>
          <w:sz w:val="20"/>
        </w:rPr>
        <w:t xml:space="preserve">May 2023, May 2024, May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Currently, 4,220,000 shares of our common stock are reserved for issuance thereunder.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 total of 3,366,236 stock options and other stock awards had been granted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and 853,764 shares remained available for future grant.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Stock-based compensation expense recorded in research and development expense and general and administrative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3350"/>
        <w:gridCol w:w="60"/>
        <w:gridCol w:w="203"/>
        <w:gridCol w:w="789"/>
        <w:gridCol w:w="97"/>
        <w:gridCol w:w="97"/>
        <w:gridCol w:w="203"/>
        <w:gridCol w:w="789"/>
        <w:gridCol w:w="60"/>
        <w:gridCol w:w="60"/>
        <w:gridCol w:w="185"/>
        <w:gridCol w:w="718"/>
        <w:gridCol w:w="88"/>
        <w:gridCol w:w="88"/>
        <w:gridCol w:w="185"/>
        <w:gridCol w:w="718"/>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2026(1)</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8425" w:type="dxa"/>
        <w:jc w:val="left"/>
        <w:tblInd w:w="0" w:type="dxa"/>
        <w:tblLayout w:type="fixed"/>
        <w:tblCellMar>
          <w:top w:w="0" w:type="dxa"/>
          <w:left w:w="0" w:type="dxa"/>
          <w:bottom w:w="0" w:type="dxa"/>
          <w:right w:w="0" w:type="dxa"/>
        </w:tblCellMar>
      </w:tblPr>
      <w:tblGrid>
        <w:gridCol w:w="60"/>
        <w:gridCol w:w="230"/>
        <w:gridCol w:w="81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1</w:t>
            </w:r>
            <w:r>
              <w:rPr>
                <w:rFonts w:ascii="Times New Roman;Times;serif" w:hAnsi="Times New Roman;Times;serif"/>
                <w:sz w:val="16"/>
              </w:rPr>
              <w:t>)</w:t>
            </w:r>
          </w:p>
        </w:tc>
        <w:tc>
          <w:tcPr>
            <w:tcW w:w="813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Excludes $1.1 million of stock options issued to pay deferred employee compensation recorded in accrued liabilities.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17</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Stock-based compensation expense by award type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3350"/>
        <w:gridCol w:w="60"/>
        <w:gridCol w:w="203"/>
        <w:gridCol w:w="789"/>
        <w:gridCol w:w="97"/>
        <w:gridCol w:w="97"/>
        <w:gridCol w:w="203"/>
        <w:gridCol w:w="789"/>
        <w:gridCol w:w="80"/>
        <w:gridCol w:w="60"/>
        <w:gridCol w:w="185"/>
        <w:gridCol w:w="718"/>
        <w:gridCol w:w="88"/>
        <w:gridCol w:w="88"/>
        <w:gridCol w:w="185"/>
        <w:gridCol w:w="718"/>
        <w:gridCol w:w="8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8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2026(1)</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awards(2)</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w:t>
            </w:r>
          </w:p>
        </w:tc>
        <w:tc>
          <w:tcPr>
            <w:tcW w:w="8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8425" w:type="dxa"/>
        <w:jc w:val="left"/>
        <w:tblInd w:w="0" w:type="dxa"/>
        <w:tblLayout w:type="fixed"/>
        <w:tblCellMar>
          <w:top w:w="0" w:type="dxa"/>
          <w:left w:w="0" w:type="dxa"/>
          <w:bottom w:w="0" w:type="dxa"/>
          <w:right w:w="0" w:type="dxa"/>
        </w:tblCellMar>
      </w:tblPr>
      <w:tblGrid>
        <w:gridCol w:w="60"/>
        <w:gridCol w:w="230"/>
        <w:gridCol w:w="81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1</w:t>
            </w:r>
            <w:r>
              <w:rPr>
                <w:rFonts w:ascii="Times New Roman;Times;serif" w:hAnsi="Times New Roman;Times;serif"/>
                <w:sz w:val="16"/>
              </w:rPr>
              <w:t>)</w:t>
            </w:r>
          </w:p>
        </w:tc>
        <w:tc>
          <w:tcPr>
            <w:tcW w:w="813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Excludes $1.1 million of stock options issued to pay deferred employee compensation recorded in accrued liabilities.</w:t>
            </w:r>
          </w:p>
        </w:tc>
      </w:tr>
    </w:tbl>
    <w:p>
      <w:pPr>
        <w:pStyle w:val="TextBody"/>
        <w:bidi w:val="0"/>
        <w:spacing w:before="0" w:after="0"/>
        <w:ind w:left="0" w:right="0" w:hanging="0"/>
        <w:jc w:val="left"/>
        <w:rPr/>
      </w:pPr>
      <w:r>
        <w:rPr/>
        <w:t> </w:t>
      </w:r>
    </w:p>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sz w:val="16"/>
              </w:rPr>
              <w:t>(</w:t>
            </w:r>
            <w:r>
              <w:rPr>
                <w:rStyle w:val="Emphasis"/>
                <w:sz w:val="16"/>
              </w:rPr>
              <w:t>2</w:t>
            </w:r>
            <w:r>
              <w:rPr>
                <w:sz w:val="16"/>
              </w:rPr>
              <w:t>)</w:t>
            </w:r>
          </w:p>
        </w:tc>
        <w:tc>
          <w:tcPr>
            <w:tcW w:w="6380" w:type="dxa"/>
            <w:tcBorders/>
            <w:vAlign w:val="center"/>
          </w:tcPr>
          <w:p>
            <w:pPr>
              <w:pStyle w:val="TableContents"/>
              <w:bidi w:val="0"/>
              <w:spacing w:before="0" w:after="283"/>
              <w:jc w:val="left"/>
              <w:rPr>
                <w:sz w:val="16"/>
              </w:rPr>
            </w:pPr>
            <w:r>
              <w:rPr>
                <w:sz w:val="16"/>
              </w:rPr>
              <w:t>Stock awards include rights to restricted stock awards with market-based vesting conditions.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Outstanding stock options and related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0"/>
        <w:gridCol w:w="60"/>
        <w:gridCol w:w="78"/>
        <w:gridCol w:w="1118"/>
        <w:gridCol w:w="80"/>
        <w:gridCol w:w="60"/>
        <w:gridCol w:w="446"/>
        <w:gridCol w:w="1737"/>
        <w:gridCol w:w="60"/>
        <w:gridCol w:w="60"/>
        <w:gridCol w:w="303"/>
        <w:gridCol w:w="1928"/>
        <w:gridCol w:w="60"/>
        <w:gridCol w:w="60"/>
        <w:gridCol w:w="180"/>
        <w:gridCol w:w="700"/>
        <w:gridCol w:w="65"/>
      </w:tblGrid>
      <w:tr>
        <w:trPr/>
        <w:tc>
          <w:tcPr>
            <w:tcW w:w="3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 except share, per share, and term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Number of 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6"/>
              </w:rPr>
              <w:t>Weighted Average Exercise Price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6"/>
              </w:rPr>
              <w:t>Weighted Average Remaining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Intrinsic Value</w:t>
            </w:r>
          </w:p>
        </w:tc>
        <w:tc>
          <w:tcPr>
            <w:tcW w:w="65" w:type="dxa"/>
            <w:tcBorders/>
            <w:shd w:fill="FFFFFF" w:val="clear"/>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2,787,201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9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65"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674,027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ind w:left="0" w:right="0" w:hanging="0"/>
              <w:jc w:val="left"/>
              <w:rPr/>
            </w:pPr>
            <w:r>
              <w:rPr/>
              <w:t> </w:t>
            </w:r>
          </w:p>
        </w:tc>
        <w:tc>
          <w:tcPr>
            <w:tcW w:w="17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9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928"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5" w:type="dxa"/>
            <w:tcBorders/>
            <w:shd w:fill="FFFFFF" w:val="clear"/>
            <w:vAlign w:val="center"/>
          </w:tcPr>
          <w:p>
            <w:pPr>
              <w:pStyle w:val="TableContents"/>
              <w:bidi w:val="0"/>
              <w:spacing w:before="0" w:after="0"/>
              <w:jc w:val="left"/>
              <w:rPr/>
            </w:pPr>
            <w:r>
              <w:rPr/>
              <w:t> </w:t>
            </w:r>
          </w:p>
        </w:tc>
      </w:tr>
      <w:tr>
        <w:trPr/>
        <w:tc>
          <w:tcPr>
            <w:tcW w:w="3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3,458,957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1,746</w:t>
            </w:r>
          </w:p>
        </w:tc>
        <w:tc>
          <w:tcPr>
            <w:tcW w:w="65" w:type="dxa"/>
            <w:tcBorders/>
            <w:shd w:fill="CCEEFF" w:val="clear"/>
            <w:vAlign w:val="center"/>
          </w:tcPr>
          <w:p>
            <w:pPr>
              <w:pStyle w:val="TableContents"/>
              <w:bidi w:val="0"/>
              <w:spacing w:before="0" w:after="0"/>
              <w:jc w:val="left"/>
              <w:rPr/>
            </w:pPr>
            <w:r>
              <w:rPr/>
              <w:t> </w:t>
            </w:r>
          </w:p>
        </w:tc>
      </w:tr>
      <w:tr>
        <w:trPr/>
        <w:tc>
          <w:tcPr>
            <w:tcW w:w="3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exercisable –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2,235,242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1,162</w:t>
            </w:r>
          </w:p>
        </w:tc>
        <w:tc>
          <w:tcPr>
            <w:tcW w:w="65" w:type="dxa"/>
            <w:tcBorders/>
            <w:shd w:fill="FFFFFF" w:val="clear"/>
            <w:vAlign w:val="center"/>
          </w:tcPr>
          <w:p>
            <w:pPr>
              <w:pStyle w:val="TableContents"/>
              <w:bidi w:val="0"/>
              <w:spacing w:before="0" w:after="0"/>
              <w:jc w:val="left"/>
              <w:rPr/>
            </w:pPr>
            <w:r>
              <w:rPr/>
              <w:t> </w:t>
            </w:r>
          </w:p>
        </w:tc>
      </w:tr>
      <w:tr>
        <w:trPr/>
        <w:tc>
          <w:tcPr>
            <w:tcW w:w="3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exercisable or expected to vest –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3,458,957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1,746</w:t>
            </w:r>
          </w:p>
        </w:tc>
        <w:tc>
          <w:tcPr>
            <w:tcW w:w="6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had approximately $4.3 million and $4.8 million, respectively, of unrecognized stock-based compensation costs related to unvested stock options that is expected to be recognized over a weighted-average period of 1.98 years and 1.52 years, respectively. Our unrecognized stock-based compensation cost excludes $2.8 million of stock options that vest based on performance conditions that we assessed as less than probable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weighted-average grant-date fair value of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$4.36 and $3.28, respectively. The assumptions used to calculate the fair value of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2855"/>
        <w:gridCol w:w="60"/>
        <w:gridCol w:w="60"/>
        <w:gridCol w:w="1415"/>
        <w:gridCol w:w="185"/>
        <w:gridCol w:w="60"/>
        <w:gridCol w:w="60"/>
        <w:gridCol w:w="1520"/>
        <w:gridCol w:w="18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18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 – 107.55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103.78% – 110.25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 – 4.27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 – 4.24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of options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 – 6.09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 – 6.25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Cash and cash equivalents are carried at fair value. Financial instruments, including accounts receivable, accounts payable, and accrued expenses are carried at cost, which approximates fair value given their short-term nature. Our remaining fair value measures are discussed below.</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18</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Financial Instruments with Fair Value Measurements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fair value hierarchy for financial instruments measured at fair value on a recurring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6309" w:type="dxa"/>
        <w:jc w:val="left"/>
        <w:tblInd w:w="0" w:type="dxa"/>
        <w:tblLayout w:type="fixed"/>
        <w:tblCellMar>
          <w:top w:w="0" w:type="dxa"/>
          <w:left w:w="0" w:type="dxa"/>
          <w:bottom w:w="0" w:type="dxa"/>
          <w:right w:w="0" w:type="dxa"/>
        </w:tblCellMar>
      </w:tblPr>
      <w:tblGrid>
        <w:gridCol w:w="3260"/>
        <w:gridCol w:w="60"/>
        <w:gridCol w:w="125"/>
        <w:gridCol w:w="485"/>
        <w:gridCol w:w="60"/>
        <w:gridCol w:w="60"/>
        <w:gridCol w:w="171"/>
        <w:gridCol w:w="358"/>
        <w:gridCol w:w="60"/>
        <w:gridCol w:w="60"/>
        <w:gridCol w:w="125"/>
        <w:gridCol w:w="590"/>
        <w:gridCol w:w="60"/>
        <w:gridCol w:w="60"/>
        <w:gridCol w:w="125"/>
        <w:gridCol w:w="590"/>
        <w:gridCol w:w="6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June 30, 2026</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equivalents – 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6,307</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16,137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fair value hierarchy for financial instruments measured at fair value on a recurring basis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was as follows:</w:t>
      </w:r>
    </w:p>
    <w:p>
      <w:pPr>
        <w:pStyle w:val="TextBody"/>
        <w:bidi w:val="0"/>
        <w:spacing w:before="0" w:after="0"/>
        <w:ind w:left="0" w:right="0" w:hanging="0"/>
        <w:jc w:val="both"/>
        <w:rPr>
          <w:caps w:val="false"/>
          <w:smallCaps w:val="false"/>
        </w:rPr>
      </w:pPr>
      <w:r>
        <w:rPr>
          <w:caps w:val="false"/>
          <w:smallCaps w:val="false"/>
        </w:rPr>
        <w:t> </w:t>
      </w:r>
    </w:p>
    <w:tbl>
      <w:tblPr>
        <w:tblW w:w="6099" w:type="dxa"/>
        <w:jc w:val="left"/>
        <w:tblInd w:w="0" w:type="dxa"/>
        <w:tblLayout w:type="fixed"/>
        <w:tblCellMar>
          <w:top w:w="0" w:type="dxa"/>
          <w:left w:w="0" w:type="dxa"/>
          <w:bottom w:w="0" w:type="dxa"/>
          <w:right w:w="0" w:type="dxa"/>
        </w:tblCellMar>
      </w:tblPr>
      <w:tblGrid>
        <w:gridCol w:w="3260"/>
        <w:gridCol w:w="60"/>
        <w:gridCol w:w="125"/>
        <w:gridCol w:w="485"/>
        <w:gridCol w:w="60"/>
        <w:gridCol w:w="60"/>
        <w:gridCol w:w="171"/>
        <w:gridCol w:w="358"/>
        <w:gridCol w:w="60"/>
        <w:gridCol w:w="60"/>
        <w:gridCol w:w="125"/>
        <w:gridCol w:w="485"/>
        <w:gridCol w:w="60"/>
        <w:gridCol w:w="60"/>
        <w:gridCol w:w="125"/>
        <w:gridCol w:w="485"/>
        <w:gridCol w:w="6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5,063</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3,093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during any of the periods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Changes in the fair value of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instruments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3080"/>
        <w:gridCol w:w="60"/>
        <w:gridCol w:w="430"/>
        <w:gridCol w:w="2034"/>
        <w:gridCol w:w="60"/>
        <w:gridCol w:w="60"/>
        <w:gridCol w:w="298"/>
        <w:gridCol w:w="1161"/>
        <w:gridCol w:w="60"/>
      </w:tblGrid>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 Warrant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Derivative Liabilities</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fair value of instruments issued</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ind w:left="0" w:right="0" w:hanging="0"/>
              <w:jc w:val="left"/>
              <w:rPr/>
            </w:pPr>
            <w:r>
              <w:rPr/>
              <w:t> </w:t>
            </w:r>
          </w:p>
        </w:tc>
        <w:tc>
          <w:tcPr>
            <w:tcW w:w="2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Changes in the fair value of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instruments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were as follows:</w:t>
      </w:r>
    </w:p>
    <w:p>
      <w:pPr>
        <w:pStyle w:val="TextBody"/>
        <w:bidi w:val="0"/>
        <w:spacing w:before="0" w:after="0"/>
        <w:ind w:left="0" w:right="0" w:firstLine="50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2450"/>
        <w:gridCol w:w="60"/>
        <w:gridCol w:w="458"/>
        <w:gridCol w:w="2006"/>
        <w:gridCol w:w="80"/>
        <w:gridCol w:w="60"/>
        <w:gridCol w:w="298"/>
        <w:gridCol w:w="1161"/>
        <w:gridCol w:w="80"/>
      </w:tblGrid>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 Warrant Liabilities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Derivative Liabilities</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Valuation of Notes Payable and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Our notes payable and convertible notes payable are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MD Loan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Cecil Loan are carried at the greater of principal plus accrued interest or the value of certain “phantom shares” (see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which approximates fair value.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MD Loan,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DHCD Loan,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SSCP Notes are carried at amortized cost, which approximates fair value due to our credit risk and market interest rates.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SSCP Notes are carried at their amortized cost of $10.4 million and $9.3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amortized cost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approximate fair value and the fair value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SSCP Notes, excluding the SSCPN Derivative Liabilities pertaining to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SSCP Notes, was approximately $10.1 million and $8.2 million,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19</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The SSCPN Derivative Liabilities met the requirements to be separated from the SSCP Notes as derivative instruments measured at fair value. We estimate the fair value of the SSCP Notes with and without the SSCPN Derivative Liabilities and calculate the difference as the implied fair value of the SSCPN Derivative Liabilities. The valuation model consists of a discounted cash flow model and a Black-Scholes option-pricing model with probability weights for the occurrence of (i) a change of control transaction, (ii) default of the Company, or (iii) held to maturity. These estimates require significant judgment. The carrying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and the actual settlement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different from the estimated fair value.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5"/>
        <w:gridCol w:w="60"/>
        <w:gridCol w:w="60"/>
        <w:gridCol w:w="906"/>
        <w:gridCol w:w="185"/>
        <w:gridCol w:w="60"/>
        <w:gridCol w:w="60"/>
        <w:gridCol w:w="906"/>
        <w:gridCol w:w="185"/>
        <w:gridCol w:w="60"/>
        <w:gridCol w:w="60"/>
        <w:gridCol w:w="1057"/>
        <w:gridCol w:w="185"/>
        <w:gridCol w:w="60"/>
        <w:gridCol w:w="60"/>
        <w:gridCol w:w="906"/>
        <w:gridCol w:w="185"/>
        <w:gridCol w:w="60"/>
        <w:gridCol w:w="60"/>
        <w:gridCol w:w="1057"/>
        <w:gridCol w:w="185"/>
        <w:gridCol w:w="60"/>
        <w:gridCol w:w="60"/>
        <w:gridCol w:w="1065"/>
        <w:gridCol w:w="188"/>
      </w:tblGrid>
      <w:tr>
        <w:trPr/>
        <w:tc>
          <w:tcPr>
            <w:tcW w:w="2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8" w:type="dxa"/>
            <w:tcBorders/>
            <w:vAlign w:val="center"/>
          </w:tcPr>
          <w:p>
            <w:pPr>
              <w:pStyle w:val="TableContents"/>
              <w:bidi w:val="0"/>
              <w:spacing w:before="0" w:after="283"/>
              <w:jc w:val="left"/>
              <w:rPr/>
            </w:pPr>
            <w:r>
              <w:rPr/>
              <w:t> </w:t>
            </w:r>
          </w:p>
        </w:tc>
      </w:tr>
      <w:tr>
        <w:trPr/>
        <w:tc>
          <w:tcPr>
            <w:tcW w:w="2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8" w:type="dxa"/>
            <w:tcBorders/>
            <w:vAlign w:val="center"/>
          </w:tcPr>
          <w:p>
            <w:pPr>
              <w:pStyle w:val="TableContents"/>
              <w:bidi w:val="0"/>
              <w:spacing w:before="0" w:after="283"/>
              <w:jc w:val="left"/>
              <w:rPr/>
            </w:pPr>
            <w:r>
              <w:rPr/>
              <w:t> </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 – 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 – 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 – 3.60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 – 1.12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 – 1.24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 – 0.74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 – 1.26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 – 0.76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 – 1.12</w:t>
            </w:r>
          </w:p>
        </w:tc>
        <w:tc>
          <w:tcPr>
            <w:tcW w:w="188" w:type="dxa"/>
            <w:tcBorders/>
            <w:shd w:fill="CCEEFF" w:val="clear"/>
            <w:vAlign w:val="center"/>
          </w:tcPr>
          <w:p>
            <w:pPr>
              <w:pStyle w:val="TableContents"/>
              <w:bidi w:val="0"/>
              <w:spacing w:before="0" w:after="283"/>
              <w:jc w:val="left"/>
              <w:rPr/>
            </w:pPr>
            <w:r>
              <w:rPr/>
              <w:t> </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change of control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default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maturity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sz w:val="16"/>
              </w:rPr>
              <w:t>(</w:t>
            </w:r>
            <w:r>
              <w:rPr>
                <w:rStyle w:val="Emphasis"/>
                <w:sz w:val="16"/>
              </w:rPr>
              <w:t>1</w:t>
            </w:r>
            <w:r>
              <w:rPr>
                <w:sz w:val="16"/>
              </w:rPr>
              <w:t>)</w:t>
            </w:r>
          </w:p>
        </w:tc>
        <w:tc>
          <w:tcPr>
            <w:tcW w:w="9941"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Represents the unobservable inputs to the valuation of the SSCPN Derivative Liabilities related to the </w:t>
            </w:r>
            <w:r>
              <w:rPr>
                <w:rStyle w:val="Emphasis"/>
                <w:rFonts w:ascii="Times New Roman;Times;serif" w:hAnsi="Times New Roman;Times;serif"/>
                <w:sz w:val="16"/>
              </w:rPr>
              <w:t>2025</w:t>
            </w:r>
            <w:r>
              <w:rPr>
                <w:rFonts w:ascii="Times New Roman;Times;serif" w:hAnsi="Times New Roman;Times;serif"/>
                <w:sz w:val="16"/>
              </w:rPr>
              <w:t xml:space="preserve"> SSCP Notes immediately following the First </w:t>
            </w:r>
            <w:r>
              <w:rPr>
                <w:rStyle w:val="Emphasis"/>
                <w:rFonts w:ascii="Times New Roman;Times;serif" w:hAnsi="Times New Roman;Times;serif"/>
                <w:sz w:val="16"/>
              </w:rPr>
              <w:t>2025</w:t>
            </w:r>
            <w:r>
              <w:rPr>
                <w:rFonts w:ascii="Times New Roman;Times;serif" w:hAnsi="Times New Roman;Times;serif"/>
                <w:sz w:val="16"/>
              </w:rPr>
              <w:t xml:space="preserve"> SSCPN Amendment.</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sz w:val="16"/>
              </w:rPr>
              <w:t>(</w:t>
            </w:r>
            <w:r>
              <w:rPr>
                <w:rStyle w:val="Emphasis"/>
                <w:sz w:val="16"/>
              </w:rPr>
              <w:t>2</w:t>
            </w:r>
            <w:r>
              <w:rPr>
                <w:sz w:val="16"/>
              </w:rPr>
              <w:t>)</w:t>
            </w:r>
          </w:p>
        </w:tc>
        <w:tc>
          <w:tcPr>
            <w:tcW w:w="9941"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Represents the unobservable inputs to the valuation of the SSCPN Derivative Liabilities related to the </w:t>
            </w:r>
            <w:r>
              <w:rPr>
                <w:rStyle w:val="Emphasis"/>
                <w:rFonts w:ascii="Times New Roman;Times;serif" w:hAnsi="Times New Roman;Times;serif"/>
                <w:sz w:val="16"/>
              </w:rPr>
              <w:t>2025</w:t>
            </w:r>
            <w:r>
              <w:rPr>
                <w:rFonts w:ascii="Times New Roman;Times;serif" w:hAnsi="Times New Roman;Times;serif"/>
                <w:sz w:val="16"/>
              </w:rPr>
              <w:t xml:space="preserve"> SSCP Notes immediately preceding the First </w:t>
            </w:r>
            <w:r>
              <w:rPr>
                <w:rStyle w:val="Emphasis"/>
                <w:rFonts w:ascii="Times New Roman;Times;serif" w:hAnsi="Times New Roman;Times;serif"/>
                <w:sz w:val="16"/>
              </w:rPr>
              <w:t>2025</w:t>
            </w:r>
            <w:r>
              <w:rPr>
                <w:rFonts w:ascii="Times New Roman;Times;serif" w:hAnsi="Times New Roman;Times;serif"/>
                <w:sz w:val="16"/>
              </w:rPr>
              <w:t xml:space="preserve"> SSCPN Amendment.</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sz w:val="16"/>
              </w:rPr>
              <w:t>(</w:t>
            </w:r>
            <w:r>
              <w:rPr>
                <w:rStyle w:val="Emphasis"/>
                <w:sz w:val="16"/>
              </w:rPr>
              <w:t>3</w:t>
            </w:r>
            <w:r>
              <w:rPr>
                <w:sz w:val="16"/>
              </w:rPr>
              <w:t>)</w:t>
            </w:r>
          </w:p>
        </w:tc>
        <w:tc>
          <w:tcPr>
            <w:tcW w:w="9943"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Represents the unobservable inputs to the valuation of the SSCPN Derivative Liabilities related to the </w:t>
            </w:r>
            <w:r>
              <w:rPr>
                <w:rStyle w:val="Emphasis"/>
                <w:rFonts w:ascii="Times New Roman;Times;serif" w:hAnsi="Times New Roman;Times;serif"/>
                <w:sz w:val="16"/>
              </w:rPr>
              <w:t>2024</w:t>
            </w:r>
            <w:r>
              <w:rPr>
                <w:rFonts w:ascii="Times New Roman;Times;serif" w:hAnsi="Times New Roman;Times;serif"/>
                <w:sz w:val="16"/>
              </w:rPr>
              <w:t xml:space="preserve"> SSCP Notes immediately following the Second </w:t>
            </w:r>
            <w:r>
              <w:rPr>
                <w:rStyle w:val="Emphasis"/>
                <w:rFonts w:ascii="Times New Roman;Times;serif" w:hAnsi="Times New Roman;Times;serif"/>
                <w:sz w:val="16"/>
              </w:rPr>
              <w:t>2024</w:t>
            </w:r>
            <w:r>
              <w:rPr>
                <w:rFonts w:ascii="Times New Roman;Times;serif" w:hAnsi="Times New Roman;Times;serif"/>
                <w:sz w:val="16"/>
              </w:rPr>
              <w:t xml:space="preserve"> SSCPN Amendment.</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sz w:val="16"/>
              </w:rPr>
              <w:t>(</w:t>
            </w:r>
            <w:r>
              <w:rPr>
                <w:rStyle w:val="Emphasis"/>
                <w:sz w:val="16"/>
              </w:rPr>
              <w:t>4</w:t>
            </w:r>
            <w:r>
              <w:rPr>
                <w:sz w:val="16"/>
              </w:rPr>
              <w:t>)</w:t>
            </w:r>
          </w:p>
        </w:tc>
        <w:tc>
          <w:tcPr>
            <w:tcW w:w="9943"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Represents the unobservable inputs to the valuation of the SSCPN Derivative Liabilities related to the </w:t>
            </w:r>
            <w:r>
              <w:rPr>
                <w:rStyle w:val="Emphasis"/>
                <w:rFonts w:ascii="Times New Roman;Times;serif" w:hAnsi="Times New Roman;Times;serif"/>
                <w:sz w:val="16"/>
              </w:rPr>
              <w:t>2024</w:t>
            </w:r>
            <w:r>
              <w:rPr>
                <w:rFonts w:ascii="Times New Roman;Times;serif" w:hAnsi="Times New Roman;Times;serif"/>
                <w:sz w:val="16"/>
              </w:rPr>
              <w:t xml:space="preserve"> SSCP Notes immediately preceding the Second </w:t>
            </w:r>
            <w:r>
              <w:rPr>
                <w:rStyle w:val="Emphasis"/>
                <w:rFonts w:ascii="Times New Roman;Times;serif" w:hAnsi="Times New Roman;Times;serif"/>
                <w:sz w:val="16"/>
              </w:rPr>
              <w:t>2024</w:t>
            </w:r>
            <w:r>
              <w:rPr>
                <w:rFonts w:ascii="Times New Roman;Times;serif" w:hAnsi="Times New Roman;Times;serif"/>
                <w:sz w:val="16"/>
              </w:rPr>
              <w:t xml:space="preserve"> SSCPN Amendment.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Valuation of the Common Stock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Pursuant to a loan with Avenue Venture Opportunities Fund, L.P. (“Avenue”), which we repaid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issued a warrant to purchase 150,000 shares of our common stock at $4.6014 per share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Avenue Warrant”).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Avenue Warrant, as amended, is classified as a liability and carried at fair value. We estimate the fair value using a Black-Scholes option-pricing model with probability weights for the occurrence of (i) settlement of the instrument upon a change of control transaction, (ii) dissolution of the Company, or (iii) held to expiration. These estimates require significant judgment. The carrying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and the actual settlement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different from the estimated fair value.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2645"/>
        <w:gridCol w:w="60"/>
        <w:gridCol w:w="60"/>
        <w:gridCol w:w="1520"/>
        <w:gridCol w:w="185"/>
        <w:gridCol w:w="60"/>
        <w:gridCol w:w="60"/>
        <w:gridCol w:w="1520"/>
        <w:gridCol w:w="18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107.00% – 115.40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 – 119.00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 – 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 – 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 – 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 – 2.50</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change of control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pPr>
      <w:r>
        <w:rPr/>
        <w:t> </w:t>
      </w:r>
    </w:p>
    <w:p>
      <w:pPr>
        <w:pStyle w:val="TextBody"/>
        <w:bidi w:val="0"/>
        <w:spacing w:before="0" w:after="0"/>
        <w:jc w:val="center"/>
        <w:rPr/>
      </w:pPr>
      <w:r>
        <w:rPr>
          <w:rStyle w:val="Emphasis"/>
          <w:rFonts w:ascii="Times New Roman;Times;serif" w:hAnsi="Times New Roman;Times;serif"/>
          <w:sz w:val="20"/>
        </w:rPr>
        <w:t>20</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sz w:val="20"/>
        </w:rPr>
        <w:t xml:space="preserve">Pursuant to an underwritten public offering in </w:t>
      </w:r>
      <w:r>
        <w:rPr>
          <w:rStyle w:val="Emphasis"/>
          <w:rFonts w:ascii="Times New Roman" w:hAnsi="Times New Roman"/>
          <w:sz w:val="20"/>
        </w:rPr>
        <w:t xml:space="preserve">June 2023, </w:t>
      </w:r>
      <w:r>
        <w:rPr>
          <w:rFonts w:ascii="Times New Roman" w:hAnsi="Times New Roman"/>
          <w:sz w:val="20"/>
        </w:rPr>
        <w:t xml:space="preserve">we issued warrants to purchase 2,500,000 shares of our common stock at $22.00 per share (the “Tranche A Warrants”). The Tranche A Warrants expired unexercised in </w:t>
      </w:r>
      <w:r>
        <w:rPr>
          <w:rStyle w:val="Emphasis"/>
          <w:rFonts w:ascii="Times New Roman" w:hAnsi="Times New Roman"/>
          <w:sz w:val="20"/>
        </w:rPr>
        <w:t xml:space="preserve">June 2026. </w:t>
      </w:r>
      <w:r>
        <w:rPr>
          <w:rFonts w:ascii="Times New Roman" w:hAnsi="Times New Roman"/>
          <w:sz w:val="20"/>
        </w:rPr>
        <w:t>The Tranche A Warrants were classified as a liability and carried at fair value. We estimated the fair value using a Black-Scholes option-pricing model with probability weights for the occurrence of (i) acceptance of a new drug application (“NDA”) by the U.S. Food and Drug Administration (“FDA”) for CNM-</w:t>
      </w:r>
      <w:r>
        <w:rPr>
          <w:rStyle w:val="Emphasis"/>
          <w:rFonts w:ascii="Times New Roman" w:hAnsi="Times New Roman"/>
          <w:sz w:val="20"/>
        </w:rPr>
        <w:t>Au8,</w:t>
      </w:r>
      <w:r>
        <w:rPr>
          <w:rFonts w:ascii="Times New Roman" w:hAnsi="Times New Roman"/>
          <w:sz w:val="20"/>
        </w:rPr>
        <w:t xml:space="preserve"> (ii) settlement upon a fundamental transaction, (iii) dissolution of the Company, and (iv) held to expiration. These estimates required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5240"/>
        <w:gridCol w:w="60"/>
        <w:gridCol w:w="92"/>
        <w:gridCol w:w="917"/>
        <w:gridCol w:w="185"/>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185"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NDA acceptance before warrant expiration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fundamental transaction before warrant expiration</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 before warrant expiration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Pursuant to a registered direct public offering 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we issued warrants to purchase 1,546,914 shares of our common stock at $4.82 per share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are classified as a liability and carried at fair value. We estimate the fair value using a Black-Scholes option-pricing model with probability weights for the occurrence of (i) dissolution of the Company and (ii) held to maturity. These estimates require significant judgment. The carrying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and the actual settlement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different from the estimated fair value.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2645"/>
        <w:gridCol w:w="60"/>
        <w:gridCol w:w="60"/>
        <w:gridCol w:w="590"/>
        <w:gridCol w:w="185"/>
        <w:gridCol w:w="60"/>
        <w:gridCol w:w="90"/>
        <w:gridCol w:w="904"/>
        <w:gridCol w:w="18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December 31,</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00"/>
        <w:jc w:val="both"/>
        <w:rPr/>
      </w:pPr>
      <w:r>
        <w:rPr>
          <w:rFonts w:ascii="Times New Roman" w:hAnsi="Times New Roman"/>
          <w:caps w:val="false"/>
          <w:smallCaps w:val="false"/>
          <w:sz w:val="20"/>
        </w:rPr>
        <w:t xml:space="preserve">Pursuant to a registered direct public offering 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we issued warrants to purchase 1,114,000 shares of our common stock at $6.00 per share (the “Series A Warrants”). The exercise price of the Series A Warrants will increase to $7.00 per share if (i) the Series A Warrant is exercised prior to our public announcement of the FDA’s posted action date under the Prescription Drug User Fee Act for our NDA for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(the “Series A Trigger Announcement”), or (ii) the VWAP of our common stock equals or exceeds $10.00 on the Series A Price Measurement Date, as defined below. The “Series A Price Measurement Date” means (A) the trading day on which the Series A Trigger Announcement is made, if such announcement is made prior to </w:t>
      </w:r>
      <w:r>
        <w:rPr>
          <w:rStyle w:val="Emphasis"/>
          <w:rFonts w:ascii="Times New Roman" w:hAnsi="Times New Roman"/>
          <w:caps w:val="false"/>
          <w:smallCaps w:val="false"/>
          <w:sz w:val="20"/>
        </w:rPr>
        <w:t>9:00</w:t>
      </w:r>
      <w:r>
        <w:rPr>
          <w:rFonts w:ascii="Times New Roman" w:hAnsi="Times New Roman"/>
          <w:caps w:val="false"/>
          <w:smallCaps w:val="false"/>
          <w:sz w:val="20"/>
        </w:rPr>
        <w:t xml:space="preserve"> a.m. (New York City time) on such trading day, or (B)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trading day immediately following the day on which the Series A Trigger Announcement is made, if such announcement is made at or after </w:t>
      </w:r>
      <w:r>
        <w:rPr>
          <w:rStyle w:val="Emphasis"/>
          <w:rFonts w:ascii="Times New Roman" w:hAnsi="Times New Roman"/>
          <w:caps w:val="false"/>
          <w:smallCaps w:val="false"/>
          <w:sz w:val="20"/>
        </w:rPr>
        <w:t>9:01</w:t>
      </w:r>
      <w:r>
        <w:rPr>
          <w:rFonts w:ascii="Times New Roman" w:hAnsi="Times New Roman"/>
          <w:caps w:val="false"/>
          <w:smallCaps w:val="false"/>
          <w:sz w:val="20"/>
        </w:rPr>
        <w:t xml:space="preserve"> a.m. (New York City time) on a trading day or on a day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trading day.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Series A Warrants are classified as a liability and carried at fair value. We estimate the fair value using a Monte Carlo simulation with estimates for (i) the probability of the Series A Trigger Announcement (ii) the expected stock price increase if the Series A Trigger Announcement occurs, and (iii) the expected stock price decrease if the Series A Trigger Announcement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These estimates require significant judgment. The carrying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and the actual settlement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different from the estimated fair value.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485"/>
        <w:gridCol w:w="60"/>
        <w:gridCol w:w="60"/>
        <w:gridCol w:w="935"/>
        <w:gridCol w:w="185"/>
        <w:gridCol w:w="60"/>
        <w:gridCol w:w="60"/>
        <w:gridCol w:w="935"/>
        <w:gridCol w:w="185"/>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January 13,</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 – 2.54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 – 3.00</w:t>
            </w:r>
          </w:p>
        </w:tc>
        <w:tc>
          <w:tcPr>
            <w:tcW w:w="18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Series A Trigger Announcement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increase if Series A Trigger Announcement occurs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decrease if Series A Trigger Announcement does not occur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21</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Pursuant to a registered direct public offering 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we issued warrants to purchase 2,599,333 shares of our common stock at $6.00 per share (the “Series B Warrants”). The exercise price of the Series B Warrants will increase to (i) $10.00 per share if the VWAP of our common stock equals or exceeds $20.00 on the Series B Price Measurement Date, or (ii) $12.50 per share if (A) the VWAP of our common stock equals or exceeds $25.00 on the Series B Price Measurement Date, or (B) the Series B Warrant is exercised prior to our public announcement of receipt of written approval from the FDA of our NDA for CNM-</w:t>
      </w:r>
      <w:r>
        <w:rPr>
          <w:rStyle w:val="Emphasis"/>
          <w:rFonts w:ascii="Times New Roman" w:hAnsi="Times New Roman"/>
          <w:caps w:val="false"/>
          <w:smallCaps w:val="false"/>
          <w:sz w:val="20"/>
        </w:rPr>
        <w:t>Au8</w:t>
      </w:r>
      <w:r>
        <w:rPr>
          <w:rFonts w:ascii="Times New Roman" w:hAnsi="Times New Roman"/>
          <w:caps w:val="false"/>
          <w:smallCaps w:val="false"/>
          <w:sz w:val="20"/>
        </w:rPr>
        <w:t xml:space="preserve"> in ALS, which announcement shall be made promptly after receipt of such approval (the “Series B Trigger Announcement”). The “Series B Price Measurement Date” means (A) the trading day on which the Series B Trigger Announcement is made, if such announcement is made prior to </w:t>
      </w:r>
      <w:r>
        <w:rPr>
          <w:rStyle w:val="Emphasis"/>
          <w:rFonts w:ascii="Times New Roman" w:hAnsi="Times New Roman"/>
          <w:caps w:val="false"/>
          <w:smallCaps w:val="false"/>
          <w:sz w:val="20"/>
        </w:rPr>
        <w:t>9:00</w:t>
      </w:r>
      <w:r>
        <w:rPr>
          <w:rFonts w:ascii="Times New Roman" w:hAnsi="Times New Roman"/>
          <w:caps w:val="false"/>
          <w:smallCaps w:val="false"/>
          <w:sz w:val="20"/>
        </w:rPr>
        <w:t xml:space="preserve"> a.m. (New York City time) on such trading day, or (B)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trading day immediately following the day on which the Series B Trigger Announcement is made, if such announcement is made at or after </w:t>
      </w:r>
      <w:r>
        <w:rPr>
          <w:rStyle w:val="Emphasis"/>
          <w:rFonts w:ascii="Times New Roman" w:hAnsi="Times New Roman"/>
          <w:caps w:val="false"/>
          <w:smallCaps w:val="false"/>
          <w:sz w:val="20"/>
        </w:rPr>
        <w:t>9:01</w:t>
      </w:r>
      <w:r>
        <w:rPr>
          <w:rFonts w:ascii="Times New Roman" w:hAnsi="Times New Roman"/>
          <w:caps w:val="false"/>
          <w:smallCaps w:val="false"/>
          <w:sz w:val="20"/>
        </w:rPr>
        <w:t xml:space="preserve"> a.m. (New York City time) on a trading day or on a day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trading day.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Series B Warrants are classified as a liability and carried at fair value. We estimate the fair value using a Monte Carlo simulation with estimates for (i) the probability of the Series B Announcement (ii) the expected stock price increase if the Series B Trigger Announcement occurs, and (iii) the expected stock price decrease if the Series B Trigger Announcement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These estimates require significant judgment. The carrying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and the actual settlement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different from the estimated fair value.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485"/>
        <w:gridCol w:w="60"/>
        <w:gridCol w:w="60"/>
        <w:gridCol w:w="935"/>
        <w:gridCol w:w="185"/>
        <w:gridCol w:w="60"/>
        <w:gridCol w:w="60"/>
        <w:gridCol w:w="935"/>
        <w:gridCol w:w="185"/>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January 13,</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0.92 – 4.54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 – 5.00</w:t>
            </w:r>
          </w:p>
        </w:tc>
        <w:tc>
          <w:tcPr>
            <w:tcW w:w="18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Series B Trigger Announcement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increase if Series B Trigger Announcement occurs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decrease if Series B Trigger Announcement does not occur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our amended and restated certificate of incorporation authorized us to issue 600,000,000 shares of common stock, par value $0.0001 per share; and 1,000,000 shares of preferred stock, par value $0.0001 per share.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had 12,778,307 and 10,849,974 shares of common stock issued and outstanding, respectively, and no shares of preferred stock issued or outstanding.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Our common stockholders are entitled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per share and to notice of any stockholders’ meeting. Voting, dividend, and liquidation rights of the holders of our common stock are subject to the prior rights of holders of all classes of stock and are qualified by the rights, powers, preferences, and privileges of the holders of our preferred stock.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distributions shall be made with respect to our common stock until all declared dividends to our preferred stock have been paid or set aside for payment. Common stock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redeemable at the option of the holder.</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issued the following outstanding warrants to purchase shares of our common stock:</w:t>
      </w:r>
    </w:p>
    <w:p>
      <w:pPr>
        <w:pStyle w:val="TextBody"/>
        <w:bidi w:val="0"/>
        <w:spacing w:before="0" w:after="0"/>
        <w:ind w:left="0" w:right="0" w:firstLine="500"/>
        <w:jc w:val="both"/>
        <w:rPr>
          <w:caps w:val="false"/>
          <w:smallCaps w:val="false"/>
        </w:rPr>
      </w:pPr>
      <w:r>
        <w:rPr>
          <w:caps w:val="false"/>
          <w:smallCaps w:val="false"/>
        </w:rPr>
        <w:t> </w:t>
      </w:r>
    </w:p>
    <w:tbl>
      <w:tblPr>
        <w:tblW w:w="7918" w:type="dxa"/>
        <w:jc w:val="left"/>
        <w:tblInd w:w="0" w:type="dxa"/>
        <w:tblLayout w:type="fixed"/>
        <w:tblCellMar>
          <w:top w:w="0" w:type="dxa"/>
          <w:left w:w="0" w:type="dxa"/>
          <w:bottom w:w="0" w:type="dxa"/>
          <w:right w:w="0" w:type="dxa"/>
        </w:tblCellMar>
      </w:tblPr>
      <w:tblGrid>
        <w:gridCol w:w="2225"/>
        <w:gridCol w:w="60"/>
        <w:gridCol w:w="60"/>
        <w:gridCol w:w="176"/>
        <w:gridCol w:w="833"/>
        <w:gridCol w:w="60"/>
        <w:gridCol w:w="60"/>
        <w:gridCol w:w="1160"/>
        <w:gridCol w:w="60"/>
        <w:gridCol w:w="60"/>
        <w:gridCol w:w="965"/>
        <w:gridCol w:w="60"/>
        <w:gridCol w:w="60"/>
        <w:gridCol w:w="60"/>
        <w:gridCol w:w="845"/>
        <w:gridCol w:w="60"/>
        <w:gridCol w:w="60"/>
        <w:gridCol w:w="65"/>
        <w:gridCol w:w="929"/>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Number of Shares Issuable</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December 31,</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 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Exercise Price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Expiration</w:t>
            </w:r>
          </w:p>
        </w:tc>
        <w:tc>
          <w:tcPr>
            <w:tcW w:w="60"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Classification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Avenue Warrant(1)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4.6014</w:t>
            </w:r>
          </w:p>
        </w:tc>
        <w:tc>
          <w:tcPr>
            <w:tcW w:w="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2028</w:t>
            </w:r>
          </w:p>
        </w:tc>
        <w:tc>
          <w:tcPr>
            <w:tcW w:w="60" w:type="dxa"/>
            <w:tcBorders/>
            <w:shd w:fill="CCEEFF" w:val="clear"/>
            <w:vAlign w:val="center"/>
          </w:tcPr>
          <w:p>
            <w:pPr>
              <w:pStyle w:val="TableContents"/>
              <w:bidi w:val="0"/>
              <w:spacing w:before="0" w:after="283"/>
              <w:ind w:left="0" w:right="0" w:hanging="0"/>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Tranche A Warrants(2)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2026</w:t>
            </w:r>
          </w:p>
        </w:tc>
        <w:tc>
          <w:tcPr>
            <w:tcW w:w="60"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Tranche B Warrants(3)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2030</w:t>
            </w:r>
          </w:p>
        </w:tc>
        <w:tc>
          <w:tcPr>
            <w:tcW w:w="60" w:type="dxa"/>
            <w:tcBorders/>
            <w:shd w:fill="CCEEFF" w:val="clear"/>
            <w:vAlign w:val="center"/>
          </w:tcPr>
          <w:p>
            <w:pPr>
              <w:pStyle w:val="TableContents"/>
              <w:bidi w:val="0"/>
              <w:spacing w:before="0" w:after="283"/>
              <w:ind w:left="0" w:right="0" w:hanging="0"/>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Equity</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Common Warrants(4)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October 2029</w:t>
            </w:r>
          </w:p>
        </w:tc>
        <w:tc>
          <w:tcPr>
            <w:tcW w:w="60"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1,546,914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Warrants(5)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January 2029</w:t>
            </w:r>
          </w:p>
        </w:tc>
        <w:tc>
          <w:tcPr>
            <w:tcW w:w="60" w:type="dxa"/>
            <w:tcBorders/>
            <w:shd w:fill="CCEEFF" w:val="clear"/>
            <w:vAlign w:val="center"/>
          </w:tcPr>
          <w:p>
            <w:pPr>
              <w:pStyle w:val="TableContents"/>
              <w:bidi w:val="0"/>
              <w:spacing w:before="0" w:after="283"/>
              <w:ind w:left="0" w:right="0" w:hanging="0"/>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Warrants(6)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January 2031</w:t>
            </w:r>
          </w:p>
        </w:tc>
        <w:tc>
          <w:tcPr>
            <w:tcW w:w="60"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6,696,914</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pPr>
            <w:r>
              <w:rPr>
                <w:rFonts w:ascii="Times New Roman;Times;serif" w:hAnsi="Times New Roman;Times;serif"/>
                <w:sz w:val="16"/>
              </w:rPr>
              <w:t>(</w:t>
            </w:r>
            <w:r>
              <w:rPr>
                <w:rStyle w:val="Emphasis"/>
                <w:rFonts w:ascii="Times New Roman;Times;serif" w:hAnsi="Times New Roman;Times;serif"/>
                <w:sz w:val="16"/>
              </w:rPr>
              <w:t>1</w:t>
            </w:r>
            <w:r>
              <w:rPr>
                <w:rFonts w:ascii="Times New Roman;Times;serif" w:hAnsi="Times New Roman;Times;serif"/>
                <w:sz w:val="16"/>
              </w:rPr>
              <w:t>)</w:t>
            </w:r>
          </w:p>
        </w:tc>
        <w:tc>
          <w:tcPr>
            <w:tcW w:w="9942"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the </w:t>
            </w:r>
            <w:r>
              <w:rPr>
                <w:rStyle w:val="Emphasis"/>
                <w:rFonts w:ascii="Times New Roman;Times;serif" w:hAnsi="Times New Roman;Times;serif"/>
                <w:sz w:val="16"/>
              </w:rPr>
              <w:t>2023</w:t>
            </w:r>
            <w:r>
              <w:rPr>
                <w:rFonts w:ascii="Times New Roman;Times;serif" w:hAnsi="Times New Roman;Times;serif"/>
                <w:sz w:val="16"/>
              </w:rPr>
              <w:t xml:space="preserve"> Avenue Warrant pursuant to a loan with Avenue (see Note </w:t>
            </w:r>
            <w:r>
              <w:rPr>
                <w:rStyle w:val="Emphasis"/>
                <w:rFonts w:ascii="Times New Roman;Times;serif" w:hAnsi="Times New Roman;Times;serif"/>
                <w:sz w:val="16"/>
              </w:rPr>
              <w:t>12</w:t>
            </w:r>
            <w:r>
              <w:rPr>
                <w:rFonts w:ascii="Times New Roman;Times;serif" w:hAnsi="Times New Roman;Times;serif"/>
                <w:sz w:val="16"/>
              </w:rPr>
              <w:t xml:space="preserve">). As of </w:t>
            </w:r>
            <w:r>
              <w:rPr>
                <w:rStyle w:val="Emphasis"/>
                <w:rFonts w:ascii="Times New Roman;Times;serif" w:hAnsi="Times New Roman;Times;serif"/>
                <w:sz w:val="16"/>
              </w:rPr>
              <w:t>June 30, 2026</w:t>
            </w:r>
            <w:r>
              <w:rPr>
                <w:rFonts w:ascii="Times New Roman;Times;serif" w:hAnsi="Times New Roman;Times;serif"/>
                <w:sz w:val="16"/>
              </w:rPr>
              <w:t xml:space="preserve"> and </w:t>
            </w:r>
            <w:r>
              <w:rPr>
                <w:rStyle w:val="Emphasis"/>
                <w:rFonts w:ascii="Times New Roman;Times;serif" w:hAnsi="Times New Roman;Times;serif"/>
                <w:sz w:val="16"/>
              </w:rPr>
              <w:t>December 31, 2025</w:t>
            </w:r>
            <w:r>
              <w:rPr>
                <w:rFonts w:ascii="Times New Roman;Times;serif" w:hAnsi="Times New Roman;Times;serif"/>
                <w:sz w:val="16"/>
              </w:rPr>
              <w:t xml:space="preserve">, the </w:t>
            </w:r>
            <w:r>
              <w:rPr>
                <w:rStyle w:val="Emphasis"/>
                <w:rFonts w:ascii="Times New Roman;Times;serif" w:hAnsi="Times New Roman;Times;serif"/>
                <w:sz w:val="16"/>
              </w:rPr>
              <w:t>2023</w:t>
            </w:r>
            <w:r>
              <w:rPr>
                <w:rFonts w:ascii="Times New Roman;Times;serif" w:hAnsi="Times New Roman;Times;serif"/>
                <w:sz w:val="16"/>
              </w:rPr>
              <w:t xml:space="preserve"> Avenue Warrant had not been exercised.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left"/>
              <w:rPr/>
            </w:pPr>
            <w:r>
              <w:rPr>
                <w:rFonts w:ascii="Times New Roman;Times;serif" w:hAnsi="Times New Roman;Times;serif"/>
                <w:sz w:val="16"/>
              </w:rPr>
              <w:t>(</w:t>
            </w:r>
            <w:r>
              <w:rPr>
                <w:rStyle w:val="Emphasis"/>
                <w:rFonts w:ascii="Times New Roman;Times;serif" w:hAnsi="Times New Roman;Times;serif"/>
                <w:sz w:val="16"/>
              </w:rPr>
              <w:t>2</w:t>
            </w:r>
            <w:r>
              <w:rPr>
                <w:rFonts w:ascii="Times New Roman;Times;serif" w:hAnsi="Times New Roman;Times;serif"/>
                <w:sz w:val="16"/>
              </w:rPr>
              <w:t>)</w:t>
            </w:r>
          </w:p>
        </w:tc>
        <w:tc>
          <w:tcPr>
            <w:tcW w:w="9959"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the Tranche A Warrants in a </w:t>
            </w:r>
            <w:r>
              <w:rPr>
                <w:rStyle w:val="Emphasis"/>
                <w:rFonts w:ascii="Times New Roman;Times;serif" w:hAnsi="Times New Roman;Times;serif"/>
                <w:sz w:val="16"/>
              </w:rPr>
              <w:t xml:space="preserve">June 2023 </w:t>
            </w:r>
            <w:r>
              <w:rPr>
                <w:rFonts w:ascii="Times New Roman;Times;serif" w:hAnsi="Times New Roman;Times;serif"/>
                <w:sz w:val="16"/>
              </w:rPr>
              <w:t xml:space="preserve">public equity offering. Each Tranche A Warrant was exercisable for one share of our common stock. The Tranche A Warrants expired unexercised on </w:t>
            </w:r>
            <w:r>
              <w:rPr>
                <w:rStyle w:val="Emphasis"/>
                <w:rFonts w:ascii="Times New Roman;Times;serif" w:hAnsi="Times New Roman;Times;serif"/>
                <w:sz w:val="16"/>
              </w:rPr>
              <w:t>June 16, 2026.</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Times;serif" w:hAnsi="Times New Roman;Times;serif"/>
          <w:sz w:val="20"/>
        </w:rPr>
        <w:t>22</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pPr>
            <w:r>
              <w:rPr>
                <w:rFonts w:ascii="Times New Roman;Times;serif" w:hAnsi="Times New Roman;Times;serif"/>
                <w:sz w:val="16"/>
              </w:rPr>
              <w:t>(</w:t>
            </w:r>
            <w:r>
              <w:rPr>
                <w:rStyle w:val="Emphasis"/>
                <w:rFonts w:ascii="Times New Roman;Times;serif" w:hAnsi="Times New Roman;Times;serif"/>
                <w:sz w:val="16"/>
              </w:rPr>
              <w:t>3</w:t>
            </w:r>
            <w:r>
              <w:rPr>
                <w:rFonts w:ascii="Times New Roman;Times;serif" w:hAnsi="Times New Roman;Times;serif"/>
                <w:sz w:val="16"/>
              </w:rPr>
              <w:t>)</w:t>
            </w:r>
          </w:p>
        </w:tc>
        <w:tc>
          <w:tcPr>
            <w:tcW w:w="9999"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warrants in a </w:t>
            </w:r>
            <w:r>
              <w:rPr>
                <w:rStyle w:val="Emphasis"/>
                <w:rFonts w:ascii="Times New Roman;Times;serif" w:hAnsi="Times New Roman;Times;serif"/>
                <w:sz w:val="16"/>
              </w:rPr>
              <w:t xml:space="preserve">June 2023 </w:t>
            </w:r>
            <w:r>
              <w:rPr>
                <w:rFonts w:ascii="Times New Roman;Times;serif" w:hAnsi="Times New Roman;Times;serif"/>
                <w:sz w:val="16"/>
              </w:rPr>
              <w:t xml:space="preserve">public equity offering (the “Tranche B Warrants”). Each Tranche B Warrant is exercisable for one share of our common stock. The Tranche B Warrants expire on the earlier of (i) </w:t>
            </w:r>
            <w:r>
              <w:rPr>
                <w:rStyle w:val="Emphasis"/>
                <w:rFonts w:ascii="Times New Roman;Times;serif" w:hAnsi="Times New Roman;Times;serif"/>
                <w:sz w:val="16"/>
              </w:rPr>
              <w:t>60</w:t>
            </w:r>
            <w:r>
              <w:rPr>
                <w:rFonts w:ascii="Times New Roman;Times;serif" w:hAnsi="Times New Roman;Times;serif"/>
                <w:sz w:val="16"/>
              </w:rPr>
              <w:t> days following the date of our public announcement that an NDA for CNM-</w:t>
            </w:r>
            <w:r>
              <w:rPr>
                <w:rStyle w:val="Emphasis"/>
                <w:rFonts w:ascii="Times New Roman;Times;serif" w:hAnsi="Times New Roman;Times;serif"/>
                <w:sz w:val="16"/>
              </w:rPr>
              <w:t>Au8</w:t>
            </w:r>
            <w:r>
              <w:rPr>
                <w:rFonts w:ascii="Times New Roman;Times;serif" w:hAnsi="Times New Roman;Times;serif"/>
                <w:sz w:val="16"/>
              </w:rPr>
              <w:t xml:space="preserve"> has been approved by the FDA, or (ii) </w:t>
            </w:r>
            <w:r>
              <w:rPr>
                <w:rStyle w:val="Emphasis"/>
                <w:rFonts w:ascii="Times New Roman;Times;serif" w:hAnsi="Times New Roman;Times;serif"/>
                <w:sz w:val="16"/>
              </w:rPr>
              <w:t xml:space="preserve">June 16, 2030. </w:t>
            </w:r>
            <w:r>
              <w:rPr>
                <w:rFonts w:ascii="Times New Roman;Times;serif" w:hAnsi="Times New Roman;Times;serif"/>
                <w:sz w:val="16"/>
              </w:rPr>
              <w:t xml:space="preserve">As of </w:t>
            </w:r>
            <w:r>
              <w:rPr>
                <w:rStyle w:val="Emphasis"/>
                <w:rFonts w:ascii="Times New Roman;Times;serif" w:hAnsi="Times New Roman;Times;serif"/>
                <w:sz w:val="16"/>
              </w:rPr>
              <w:t>June 30, 2026</w:t>
            </w:r>
            <w:r>
              <w:rPr>
                <w:rFonts w:ascii="Times New Roman;Times;serif" w:hAnsi="Times New Roman;Times;serif"/>
                <w:sz w:val="16"/>
              </w:rPr>
              <w:t xml:space="preserve"> and </w:t>
            </w:r>
            <w:r>
              <w:rPr>
                <w:rStyle w:val="Emphasis"/>
                <w:rFonts w:ascii="Times New Roman;Times;serif" w:hAnsi="Times New Roman;Times;serif"/>
                <w:sz w:val="16"/>
              </w:rPr>
              <w:t>December 31, 2025</w:t>
            </w:r>
            <w:r>
              <w:rPr>
                <w:rFonts w:ascii="Times New Roman;Times;serif" w:hAnsi="Times New Roman;Times;serif"/>
                <w:sz w:val="16"/>
              </w:rPr>
              <w:t>, no Tranche B Warrants had been exercised.</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4</w:t>
            </w:r>
            <w:r>
              <w:rPr>
                <w:rFonts w:ascii="Times New Roman;Times;serif" w:hAnsi="Times New Roman;Times;serif"/>
                <w:sz w:val="16"/>
              </w:rPr>
              <w:t>)</w:t>
            </w:r>
          </w:p>
        </w:tc>
        <w:tc>
          <w:tcPr>
            <w:tcW w:w="9971"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the </w:t>
            </w:r>
            <w:r>
              <w:rPr>
                <w:rStyle w:val="Emphasis"/>
                <w:rFonts w:ascii="Times New Roman;Times;serif" w:hAnsi="Times New Roman;Times;serif"/>
                <w:sz w:val="16"/>
              </w:rPr>
              <w:t>2024</w:t>
            </w:r>
            <w:r>
              <w:rPr>
                <w:rFonts w:ascii="Times New Roman;Times;serif" w:hAnsi="Times New Roman;Times;serif"/>
                <w:sz w:val="16"/>
              </w:rPr>
              <w:t xml:space="preserve"> Common Warrants in an </w:t>
            </w:r>
            <w:r>
              <w:rPr>
                <w:rStyle w:val="Emphasis"/>
                <w:rFonts w:ascii="Times New Roman;Times;serif" w:hAnsi="Times New Roman;Times;serif"/>
                <w:sz w:val="16"/>
              </w:rPr>
              <w:t xml:space="preserve">October 2024 </w:t>
            </w:r>
            <w:r>
              <w:rPr>
                <w:rFonts w:ascii="Times New Roman;Times;serif" w:hAnsi="Times New Roman;Times;serif"/>
                <w:sz w:val="16"/>
              </w:rPr>
              <w:t xml:space="preserve">public equity offering. Each </w:t>
            </w:r>
            <w:r>
              <w:rPr>
                <w:rStyle w:val="Emphasis"/>
                <w:rFonts w:ascii="Times New Roman;Times;serif" w:hAnsi="Times New Roman;Times;serif"/>
                <w:sz w:val="16"/>
              </w:rPr>
              <w:t>2024</w:t>
            </w:r>
            <w:r>
              <w:rPr>
                <w:rFonts w:ascii="Times New Roman;Times;serif" w:hAnsi="Times New Roman;Times;serif"/>
                <w:sz w:val="16"/>
              </w:rPr>
              <w:t xml:space="preserve"> Common Warrant is exercisable for one share of our common stock. As of </w:t>
            </w:r>
            <w:r>
              <w:rPr>
                <w:rStyle w:val="Emphasis"/>
                <w:rFonts w:ascii="Times New Roman;Times;serif" w:hAnsi="Times New Roman;Times;serif"/>
                <w:sz w:val="16"/>
              </w:rPr>
              <w:t>June 30, 2026</w:t>
            </w:r>
            <w:r>
              <w:rPr>
                <w:rFonts w:ascii="Times New Roman;Times;serif" w:hAnsi="Times New Roman;Times;serif"/>
                <w:sz w:val="16"/>
              </w:rPr>
              <w:t xml:space="preserve"> and </w:t>
            </w:r>
            <w:r>
              <w:rPr>
                <w:rStyle w:val="Emphasis"/>
                <w:rFonts w:ascii="Times New Roman;Times;serif" w:hAnsi="Times New Roman;Times;serif"/>
                <w:sz w:val="16"/>
              </w:rPr>
              <w:t>December 31, 2025</w:t>
            </w:r>
            <w:r>
              <w:rPr>
                <w:rFonts w:ascii="Times New Roman;Times;serif" w:hAnsi="Times New Roman;Times;serif"/>
                <w:sz w:val="16"/>
              </w:rPr>
              <w:t xml:space="preserve">, no </w:t>
            </w:r>
            <w:r>
              <w:rPr>
                <w:rStyle w:val="Emphasis"/>
                <w:rFonts w:ascii="Times New Roman;Times;serif" w:hAnsi="Times New Roman;Times;serif"/>
                <w:sz w:val="16"/>
              </w:rPr>
              <w:t>2024</w:t>
            </w:r>
            <w:r>
              <w:rPr>
                <w:rFonts w:ascii="Times New Roman;Times;serif" w:hAnsi="Times New Roman;Times;serif"/>
                <w:sz w:val="16"/>
              </w:rPr>
              <w:t xml:space="preserve"> Common Warrants had been exercised.</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6"/>
        <w:gridCol w:w="10019"/>
      </w:tblGrid>
      <w:tr>
        <w:trPr/>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5</w:t>
            </w:r>
            <w:r>
              <w:rPr>
                <w:rFonts w:ascii="Times New Roman;Times;serif" w:hAnsi="Times New Roman;Times;serif"/>
                <w:sz w:val="16"/>
              </w:rPr>
              <w:t>)</w:t>
            </w:r>
          </w:p>
        </w:tc>
        <w:tc>
          <w:tcPr>
            <w:tcW w:w="10019"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the Series A Warrants in a </w:t>
            </w:r>
            <w:r>
              <w:rPr>
                <w:rStyle w:val="Emphasis"/>
                <w:rFonts w:ascii="Times New Roman;Times;serif" w:hAnsi="Times New Roman;Times;serif"/>
                <w:sz w:val="16"/>
              </w:rPr>
              <w:t xml:space="preserve">January 2026 </w:t>
            </w:r>
            <w:r>
              <w:rPr>
                <w:rFonts w:ascii="Times New Roman;Times;serif" w:hAnsi="Times New Roman;Times;serif"/>
                <w:sz w:val="16"/>
              </w:rPr>
              <w:t xml:space="preserve">public equity offering. Each Series A Warrant is exercisable for 1.2 shares of our common stock. The Series A Warrants expire three years from issuance unless, if on or after the </w:t>
            </w:r>
            <w:r>
              <w:rPr>
                <w:rStyle w:val="Emphasis"/>
                <w:rFonts w:ascii="Times New Roman;Times;serif" w:hAnsi="Times New Roman;Times;serif"/>
                <w:sz w:val="16"/>
              </w:rPr>
              <w:t>first</w:t>
            </w:r>
            <w:r>
              <w:rPr>
                <w:rFonts w:ascii="Times New Roman;Times;serif" w:hAnsi="Times New Roman;Times;serif"/>
                <w:sz w:val="16"/>
              </w:rPr>
              <w:t xml:space="preserve"> trading day immediately following the Series A Price Measurement Date, the closing price of our common stock is in-the-money, then we shall have the right, for a period of </w:t>
            </w:r>
            <w:r>
              <w:rPr>
                <w:rStyle w:val="Emphasis"/>
                <w:rFonts w:ascii="Times New Roman;Times;serif" w:hAnsi="Times New Roman;Times;serif"/>
                <w:sz w:val="16"/>
              </w:rPr>
              <w:t>seven</w:t>
            </w:r>
            <w:r>
              <w:rPr>
                <w:rFonts w:ascii="Times New Roman;Times;serif" w:hAnsi="Times New Roman;Times;serif"/>
                <w:sz w:val="16"/>
              </w:rPr>
              <w:t xml:space="preserve"> business days (such </w:t>
            </w:r>
            <w:r>
              <w:rPr>
                <w:rStyle w:val="Emphasis"/>
                <w:rFonts w:ascii="Times New Roman;Times;serif" w:hAnsi="Times New Roman;Times;serif"/>
                <w:sz w:val="16"/>
              </w:rPr>
              <w:t>seventh</w:t>
            </w:r>
            <w:r>
              <w:rPr>
                <w:rFonts w:ascii="Times New Roman;Times;serif" w:hAnsi="Times New Roman;Times;serif"/>
                <w:sz w:val="16"/>
              </w:rPr>
              <w:t xml:space="preserve"> day, the “Call Date”) following such trading date, to redeem or call for cancellation all or any portion of the Series A Warrants for which a notice of exercise has </w:t>
            </w:r>
            <w:r>
              <w:rPr>
                <w:rStyle w:val="Emphasis"/>
                <w:rFonts w:ascii="Times New Roman;Times;serif" w:hAnsi="Times New Roman;Times;serif"/>
                <w:sz w:val="16"/>
              </w:rPr>
              <w:t>not</w:t>
            </w:r>
            <w:r>
              <w:rPr>
                <w:rFonts w:ascii="Times New Roman;Times;serif" w:hAnsi="Times New Roman;Times;serif"/>
                <w:sz w:val="16"/>
              </w:rPr>
              <w:t xml:space="preserve"> yet been delivered for consideration equal to $0.01 per share (the “Redemption Price”). Any portion </w:t>
            </w:r>
            <w:r>
              <w:rPr>
                <w:rStyle w:val="Emphasis"/>
                <w:rFonts w:ascii="Times New Roman;Times;serif" w:hAnsi="Times New Roman;Times;serif"/>
                <w:sz w:val="16"/>
              </w:rPr>
              <w:t>not</w:t>
            </w:r>
            <w:r>
              <w:rPr>
                <w:rFonts w:ascii="Times New Roman;Times;serif" w:hAnsi="Times New Roman;Times;serif"/>
                <w:sz w:val="16"/>
              </w:rPr>
              <w:t xml:space="preserve"> exercised by </w:t>
            </w:r>
            <w:r>
              <w:rPr>
                <w:rStyle w:val="Emphasis"/>
                <w:rFonts w:ascii="Times New Roman;Times;serif" w:hAnsi="Times New Roman;Times;serif"/>
                <w:sz w:val="16"/>
              </w:rPr>
              <w:t>5:00</w:t>
            </w:r>
            <w:r>
              <w:rPr>
                <w:rFonts w:ascii="Times New Roman;Times;serif" w:hAnsi="Times New Roman;Times;serif"/>
                <w:sz w:val="16"/>
              </w:rPr>
              <w:t xml:space="preserve"> p.m. Eastern Time on the Call Date shall be automatically redeemed by us for the Redemption Price and shall thereafter be null and void. As of </w:t>
            </w:r>
            <w:r>
              <w:rPr>
                <w:rStyle w:val="Emphasis"/>
                <w:rFonts w:ascii="Times New Roman;Times;serif" w:hAnsi="Times New Roman;Times;serif"/>
                <w:sz w:val="16"/>
              </w:rPr>
              <w:t>June 30, 2026</w:t>
            </w:r>
            <w:r>
              <w:rPr>
                <w:rFonts w:ascii="Times New Roman;Times;serif" w:hAnsi="Times New Roman;Times;serif"/>
                <w:sz w:val="16"/>
              </w:rPr>
              <w:t xml:space="preserve">, </w:t>
            </w:r>
            <w:r>
              <w:rPr>
                <w:rStyle w:val="Emphasis"/>
                <w:rFonts w:ascii="Times New Roman;Times;serif" w:hAnsi="Times New Roman;Times;serif"/>
                <w:sz w:val="16"/>
              </w:rPr>
              <w:t>no</w:t>
            </w:r>
            <w:r>
              <w:rPr>
                <w:rFonts w:ascii="Times New Roman;Times;serif" w:hAnsi="Times New Roman;Times;serif"/>
                <w:sz w:val="16"/>
              </w:rPr>
              <w:t xml:space="preserve"> Series A Warrants had been exercised.</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6</w:t>
            </w:r>
            <w:r>
              <w:rPr>
                <w:rFonts w:ascii="Times New Roman;Times;serif" w:hAnsi="Times New Roman;Times;serif"/>
                <w:sz w:val="16"/>
              </w:rPr>
              <w:t>)</w:t>
            </w:r>
          </w:p>
        </w:tc>
        <w:tc>
          <w:tcPr>
            <w:tcW w:w="10017" w:type="dxa"/>
            <w:tcBorders/>
            <w:vAlign w:val="center"/>
          </w:tcPr>
          <w:p>
            <w:pPr>
              <w:pStyle w:val="TableContents"/>
              <w:bidi w:val="0"/>
              <w:spacing w:before="0" w:after="0"/>
              <w:ind w:left="0" w:right="0" w:hanging="0"/>
              <w:jc w:val="both"/>
              <w:rPr/>
            </w:pPr>
            <w:r>
              <w:rPr>
                <w:rFonts w:ascii="Times New Roman;Times;serif" w:hAnsi="Times New Roman;Times;serif"/>
                <w:sz w:val="16"/>
              </w:rPr>
              <w:t xml:space="preserve">We issued the Series B Warrants in a </w:t>
            </w:r>
            <w:r>
              <w:rPr>
                <w:rStyle w:val="Emphasis"/>
                <w:rFonts w:ascii="Times New Roman;Times;serif" w:hAnsi="Times New Roman;Times;serif"/>
                <w:sz w:val="16"/>
              </w:rPr>
              <w:t xml:space="preserve">January 2026 </w:t>
            </w:r>
            <w:r>
              <w:rPr>
                <w:rFonts w:ascii="Times New Roman;Times;serif" w:hAnsi="Times New Roman;Times;serif"/>
                <w:sz w:val="16"/>
              </w:rPr>
              <w:t xml:space="preserve">public equity offering. Each Series B Warrant is exercisable for 2.8 shares of our common stock. The Series B Warrants expire five years from issuance unless, if on or after the </w:t>
            </w:r>
            <w:r>
              <w:rPr>
                <w:rStyle w:val="Emphasis"/>
                <w:rFonts w:ascii="Times New Roman;Times;serif" w:hAnsi="Times New Roman;Times;serif"/>
                <w:sz w:val="16"/>
              </w:rPr>
              <w:t>first</w:t>
            </w:r>
            <w:r>
              <w:rPr>
                <w:rFonts w:ascii="Times New Roman;Times;serif" w:hAnsi="Times New Roman;Times;serif"/>
                <w:sz w:val="16"/>
              </w:rPr>
              <w:t xml:space="preserve"> trading day immediately following the Series B Price Measurement Date, the closing price of our common stock is in-the-money, then we shall have the right, for a period of </w:t>
            </w:r>
            <w:r>
              <w:rPr>
                <w:rStyle w:val="Emphasis"/>
                <w:rFonts w:ascii="Times New Roman;Times;serif" w:hAnsi="Times New Roman;Times;serif"/>
                <w:sz w:val="16"/>
              </w:rPr>
              <w:t>seven</w:t>
            </w:r>
            <w:r>
              <w:rPr>
                <w:rFonts w:ascii="Times New Roman;Times;serif" w:hAnsi="Times New Roman;Times;serif"/>
                <w:sz w:val="16"/>
              </w:rPr>
              <w:t xml:space="preserve"> business days following such trading date, to redeem or call for cancellation all or any portion of the Series B Warrants for which a notice of exercise has </w:t>
            </w:r>
            <w:r>
              <w:rPr>
                <w:rStyle w:val="Emphasis"/>
                <w:rFonts w:ascii="Times New Roman;Times;serif" w:hAnsi="Times New Roman;Times;serif"/>
                <w:sz w:val="16"/>
              </w:rPr>
              <w:t>not</w:t>
            </w:r>
            <w:r>
              <w:rPr>
                <w:rFonts w:ascii="Times New Roman;Times;serif" w:hAnsi="Times New Roman;Times;serif"/>
                <w:sz w:val="16"/>
              </w:rPr>
              <w:t xml:space="preserve"> yet been delivered for the Redemption Price. Any portion </w:t>
            </w:r>
            <w:r>
              <w:rPr>
                <w:rStyle w:val="Emphasis"/>
                <w:rFonts w:ascii="Times New Roman;Times;serif" w:hAnsi="Times New Roman;Times;serif"/>
                <w:sz w:val="16"/>
              </w:rPr>
              <w:t>not</w:t>
            </w:r>
            <w:r>
              <w:rPr>
                <w:rFonts w:ascii="Times New Roman;Times;serif" w:hAnsi="Times New Roman;Times;serif"/>
                <w:sz w:val="16"/>
              </w:rPr>
              <w:t xml:space="preserve"> exercised by </w:t>
            </w:r>
            <w:r>
              <w:rPr>
                <w:rStyle w:val="Emphasis"/>
                <w:rFonts w:ascii="Times New Roman;Times;serif" w:hAnsi="Times New Roman;Times;serif"/>
                <w:sz w:val="16"/>
              </w:rPr>
              <w:t>5:00</w:t>
            </w:r>
            <w:r>
              <w:rPr>
                <w:rFonts w:ascii="Times New Roman;Times;serif" w:hAnsi="Times New Roman;Times;serif"/>
                <w:sz w:val="16"/>
              </w:rPr>
              <w:t xml:space="preserve"> p.m. Eastern Time on the Call Date shall be automatically redeemed by us for the Redemption Price and shall thereafter be null and void. As of </w:t>
            </w:r>
            <w:r>
              <w:rPr>
                <w:rStyle w:val="Emphasis"/>
                <w:rFonts w:ascii="Times New Roman;Times;serif" w:hAnsi="Times New Roman;Times;serif"/>
                <w:sz w:val="16"/>
              </w:rPr>
              <w:t>June 30, 2026</w:t>
            </w:r>
            <w:r>
              <w:rPr>
                <w:rFonts w:ascii="Times New Roman;Times;serif" w:hAnsi="Times New Roman;Times;serif"/>
                <w:sz w:val="16"/>
              </w:rPr>
              <w:t>, no Series B Warrants had been exercised.</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Public Offerings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pursuant to a placement agency agreement with Canaccord Genuity LLC (“Canaccord”), we sold 725,000 shares of our common stock and pre-funded warrants to purchase up to 17,626 shares of our common stock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The aggregate gross proceeds were approximately $3.5 million, excluding the proceeds, if any, from the exercise of the pre-funded warrants and before deducting placement agent fees and expenses and other expenses payable by us. We paid Canaccord a placement agent fee of 6.00% of the aggregate gross proceeds of the offering. The offering was made pursuant to our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 number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264299</w:t>
      </w:r>
      <w:r>
        <w:rPr>
          <w:rFonts w:ascii="Times New Roman" w:hAnsi="Times New Roman"/>
          <w:caps w:val="false"/>
          <w:smallCaps w:val="false"/>
          <w:sz w:val="20"/>
        </w:rPr>
        <w:t xml:space="preserve">), declared effective on </w:t>
      </w:r>
      <w:r>
        <w:rPr>
          <w:rStyle w:val="Emphasis"/>
          <w:rFonts w:ascii="Times New Roman" w:hAnsi="Times New Roman"/>
          <w:caps w:val="false"/>
          <w:smallCaps w:val="false"/>
          <w:sz w:val="20"/>
        </w:rPr>
        <w:t>April 26, 2022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a related prospectus supplement. Additionally, in separate, concurrent private placements, we also sold 379,930 shares of our common stock,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to purchase up to 424,358 shares of our common stock,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to purchase up to 1,546,914 shares of our common stock. The aggregate gross proceeds from the private placements was approximately $3.8 million, of which $1.3 million was contributed by certain of our directors, executive officers and their affiliated entities, and excludes the proceeds, if any, from the exercise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were exercisable immediately at a price of $0.001 per share and expired when exercised in full.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were exercisable immediately at a price of $4.82 per share and expire five years from issuance. The total fair value of the common stock,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sold in the offerings exceeded the offering proceeds by $2.1 million, therefore 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we recognized this amount as a loss on the initial issuance of equity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placement agent fees and offering expenses were allocated to the common stock,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sold in the offering based on their relative fair values, with the amount allocated to the liability-classified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Common Warrants recorded as an expense and the amounts allocated to the common stock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Pre-Funded Warrants as a reduction to their initial carrying values.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pursuant to a placement agency agreement with BTIG, LLC (“BTIG”), we sold 928,333 shares of our common stock, Series A Warrants to purchase up to 1,114,000 shares of our common stock, and Series B Warrants to purchase up to 2,599,333 shares of our common stock. The aggregate gross proceeds were approximately $6.0 million, of which $0.3 million was contributed by certain of our directors and their affiliated entities, excluding the proceeds, if any, from the exercise of the Series A Warrants and Series B Warrants and before deducting placement agent fees and expenses and other expenses payable by us. We paid BTIG a placement agent fee of 6.00% of the aggregate gross proceeds of the offering. The offering was made pursuant to our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 number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286058</w:t>
      </w:r>
      <w:r>
        <w:rPr>
          <w:rFonts w:ascii="Times New Roman" w:hAnsi="Times New Roman"/>
          <w:caps w:val="false"/>
          <w:smallCaps w:val="false"/>
          <w:sz w:val="20"/>
        </w:rPr>
        <w:t xml:space="preserve">), declared effective on </w:t>
      </w:r>
      <w:r>
        <w:rPr>
          <w:rStyle w:val="Emphasis"/>
          <w:rFonts w:ascii="Times New Roman" w:hAnsi="Times New Roman"/>
          <w:caps w:val="false"/>
          <w:smallCaps w:val="false"/>
          <w:sz w:val="20"/>
        </w:rPr>
        <w:t>April 25,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a related prospectus supplement. The total fair value of the common stock, Series A Warrants, and Series B Warrants sold in the offerings exceeded the offering proceeds by $4.6 million, therefore 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we recognized this amount as a loss on the initial issuance of equity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placement agent fees and offering expenses were allocated to the common stock, Series A Warrants, and Series B Warrants sold in the offering based on their relative fair values, with the amounts allocated to the liability-classified Series A Warrants and Series B Warrants recorded as an expense and the amounts allocated to the common stock as a reduction to its initial carrying value.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pursuant to an underwriting agreement with Canaccord, we sold 1,000,000 shares of our common stock at an offering price of $7.00 per share. The aggregate gross proceeds were $7.0 million. We paid underwriting discounts and commissions of $0.5 million and other offering expenses of $0.1 million. The offering was made pursuant to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a prospectus supplement related to the offering.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23</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 xml:space="preserve">we entered into an equity distribution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Agreement”), which we amended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April 2025,</w:t>
      </w:r>
      <w:r>
        <w:rPr>
          <w:rFonts w:ascii="Times New Roman" w:hAnsi="Times New Roman"/>
          <w:caps w:val="false"/>
          <w:smallCaps w:val="false"/>
          <w:sz w:val="20"/>
        </w:rPr>
        <w:t xml:space="preserve"> we entered into an equity distribution agreement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ATM Agreement,” and collectively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Agreement, the “ATM Agreements”). Canaccord acts as placement agent under the ATM Agreements and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shares of our common stock from time to time through Canaccord. The issuance and sale of common stock by us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Agreement was made pursuant to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which expired on </w:t>
      </w:r>
      <w:r>
        <w:rPr>
          <w:rStyle w:val="Emphasis"/>
          <w:rFonts w:ascii="Times New Roman" w:hAnsi="Times New Roman"/>
          <w:caps w:val="false"/>
          <w:smallCaps w:val="false"/>
          <w:sz w:val="20"/>
        </w:rPr>
        <w:t xml:space="preserve">April 26, 2025. </w:t>
      </w:r>
      <w:r>
        <w:rPr>
          <w:rFonts w:ascii="Times New Roman" w:hAnsi="Times New Roman"/>
          <w:caps w:val="false"/>
          <w:smallCaps w:val="false"/>
          <w:sz w:val="20"/>
        </w:rPr>
        <w:t xml:space="preserve">The issuance and sale of common stock by us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ATM Agreement was made pursuant to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w:t>
      </w:r>
      <w:r>
        <w:rPr>
          <w:rStyle w:val="Emphasis"/>
          <w:rFonts w:ascii="Times New Roman" w:hAnsi="Times New Roman"/>
          <w:caps w:val="false"/>
          <w:smallCaps w:val="false"/>
          <w:sz w:val="20"/>
        </w:rPr>
        <w:t>3</w:t>
      </w:r>
      <w:r>
        <w:rPr>
          <w:rFonts w:ascii="Times New Roman" w:hAnsi="Times New Roman"/>
          <w:caps w:val="false"/>
          <w:smallCaps w:val="false"/>
          <w:sz w:val="20"/>
        </w:rPr>
        <w:t> and a related prospectus supplement.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Pursuant to the ATM Agreements, Canaccord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sell any specific number or dollar amount of our common stock but will act as our placement agent to sell, on our behalf, all of the common stock requested by us to be sold, consistent with Canaccord’s normal trading and sales practices, on terms mutually agreed between Canaccord and us, for a fixed commission from each sale of common stock, if any.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effect any sales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we sold 758,990 and 1,337,195 shares of our common stock, respectively, generated gross proceeds of $2.3 million and $5.1 million, respectively, and paid commissions of $35,000 and $0.1 million,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computation of basic and diluted net loss per share attributable to common stockholders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5"/>
        <w:gridCol w:w="60"/>
        <w:gridCol w:w="125"/>
        <w:gridCol w:w="950"/>
        <w:gridCol w:w="80"/>
        <w:gridCol w:w="60"/>
        <w:gridCol w:w="125"/>
        <w:gridCol w:w="845"/>
        <w:gridCol w:w="80"/>
        <w:gridCol w:w="60"/>
        <w:gridCol w:w="125"/>
        <w:gridCol w:w="950"/>
        <w:gridCol w:w="80"/>
        <w:gridCol w:w="60"/>
        <w:gridCol w:w="125"/>
        <w:gridCol w:w="845"/>
        <w:gridCol w:w="80"/>
      </w:tblGrid>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950" w:type="dxa"/>
            <w:tcBorders/>
            <w:shd w:fill="FFFFFF" w:val="clear"/>
            <w:vAlign w:val="center"/>
          </w:tcPr>
          <w:p>
            <w:pPr>
              <w:pStyle w:val="TableContents"/>
              <w:bidi w:val="0"/>
              <w:spacing w:before="0" w:after="283"/>
              <w:ind w:left="0" w:right="0" w:hanging="0"/>
              <w:jc w:val="right"/>
              <w:rPr>
                <w:sz w:val="20"/>
              </w:rPr>
            </w:pPr>
            <w:r>
              <w:rPr>
                <w:sz w:val="20"/>
              </w:rPr>
              <w:t>(13,424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(7,419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950" w:type="dxa"/>
            <w:tcBorders/>
            <w:shd w:fill="FFFFFF" w:val="clear"/>
            <w:vAlign w:val="center"/>
          </w:tcPr>
          <w:p>
            <w:pPr>
              <w:pStyle w:val="TableContents"/>
              <w:bidi w:val="0"/>
              <w:spacing w:before="0" w:after="283"/>
              <w:ind w:left="0" w:right="0" w:hanging="0"/>
              <w:jc w:val="right"/>
              <w:rPr>
                <w:sz w:val="20"/>
              </w:rPr>
            </w:pPr>
            <w:r>
              <w:rPr>
                <w:sz w:val="20"/>
              </w:rPr>
              <w:t>(21,515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(8,170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12,382,702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9,523,592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sz w:val="20"/>
              </w:rPr>
            </w:pPr>
            <w:r>
              <w:rPr>
                <w:sz w:val="20"/>
              </w:rPr>
              <w:t>12,015,498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9,176,063</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attributable to common stockholders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950" w:type="dxa"/>
            <w:tcBorders/>
            <w:shd w:fill="CCEEFF" w:val="clear"/>
            <w:vAlign w:val="center"/>
          </w:tcPr>
          <w:p>
            <w:pPr>
              <w:pStyle w:val="TableContents"/>
              <w:bidi w:val="0"/>
              <w:spacing w:before="0" w:after="283"/>
              <w:ind w:left="0" w:right="0" w:hanging="0"/>
              <w:jc w:val="right"/>
              <w:rPr>
                <w:sz w:val="20"/>
              </w:rPr>
            </w:pPr>
            <w:r>
              <w:rPr>
                <w:sz w:val="20"/>
              </w:rPr>
              <w:t>(1.08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(0.78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950" w:type="dxa"/>
            <w:tcBorders/>
            <w:shd w:fill="CCEEFF" w:val="clear"/>
            <w:vAlign w:val="center"/>
          </w:tcPr>
          <w:p>
            <w:pPr>
              <w:pStyle w:val="TableContents"/>
              <w:bidi w:val="0"/>
              <w:spacing w:before="0" w:after="283"/>
              <w:ind w:left="0" w:right="0" w:hanging="0"/>
              <w:jc w:val="right"/>
              <w:rPr>
                <w:sz w:val="20"/>
              </w:rPr>
            </w:pPr>
            <w:r>
              <w:rPr>
                <w:sz w:val="20"/>
              </w:rPr>
              <w:t>(1.79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(0.89</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following shares of potentially dilutive securities were excluded from the computation of diluted net loss per share attributable to common stockholders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because they were antidilutive, out-of-the-money, or the issuance of such shares is contingent upon certain conditions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by the end of the period:</w:t>
      </w:r>
    </w:p>
    <w:p>
      <w:pPr>
        <w:pStyle w:val="TextBody"/>
        <w:bidi w:val="0"/>
        <w:spacing w:before="0" w:after="0"/>
        <w:ind w:left="0" w:right="0" w:firstLine="50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4265"/>
        <w:gridCol w:w="60"/>
        <w:gridCol w:w="60"/>
        <w:gridCol w:w="954"/>
        <w:gridCol w:w="60"/>
        <w:gridCol w:w="60"/>
        <w:gridCol w:w="60"/>
        <w:gridCol w:w="954"/>
        <w:gridCol w:w="60"/>
        <w:gridCol w:w="60"/>
        <w:gridCol w:w="60"/>
        <w:gridCol w:w="950"/>
        <w:gridCol w:w="60"/>
        <w:gridCol w:w="60"/>
        <w:gridCol w:w="60"/>
        <w:gridCol w:w="950"/>
        <w:gridCol w:w="6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(see Note 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1,209,289</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 (see Note 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6,818,518</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to purchase common stock (see Note 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2,312,795</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awards (see Note 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36,778</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earn-out shares (see Note 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329,628</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10,707,008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10,707,008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Times;serif" w:hAnsi="Times New Roman;Times;serif"/>
          <w:sz w:val="20"/>
        </w:rPr>
        <w:t>24</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and License Agreements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we entered into a supply agreement (the “Supply Agreement”) and license agreement (the “License Agreement”) with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an international supplier of health supplements, stockholder, and debt holder, in conjunction with </w:t>
      </w:r>
      <w:r>
        <w:rPr>
          <w:rStyle w:val="Emphasis"/>
          <w:rFonts w:ascii="Times New Roman" w:hAnsi="Times New Roman"/>
          <w:caps w:val="false"/>
          <w:smallCaps w:val="false"/>
          <w:sz w:val="20"/>
        </w:rPr>
        <w:t>4Life’s</w:t>
      </w:r>
      <w:r>
        <w:rPr>
          <w:rFonts w:ascii="Times New Roman" w:hAnsi="Times New Roman"/>
          <w:caps w:val="false"/>
          <w:smallCaps w:val="false"/>
          <w:sz w:val="20"/>
        </w:rPr>
        <w:t xml:space="preserve"> investment in the Series C preferred stock and warrants of our predecessor.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is controlled by David Lisonbee, who is also a stockholder, debt holder, and board member of a subsidiary of Clene. On </w:t>
      </w:r>
      <w:r>
        <w:rPr>
          <w:rStyle w:val="Emphasis"/>
          <w:rFonts w:ascii="Times New Roman" w:hAnsi="Times New Roman"/>
          <w:caps w:val="false"/>
          <w:smallCaps w:val="false"/>
          <w:sz w:val="20"/>
        </w:rPr>
        <w:t xml:space="preserve">April 25, 2024, </w:t>
      </w:r>
      <w:r>
        <w:rPr>
          <w:rFonts w:ascii="Times New Roman" w:hAnsi="Times New Roman"/>
          <w:caps w:val="false"/>
          <w:smallCaps w:val="false"/>
          <w:sz w:val="20"/>
        </w:rPr>
        <w:t xml:space="preserve">we entered into an amendment to the Supply Agreement and License Agreement (the “Amended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Agreements”). The Amended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Agreements contain the following terms: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sz w:val="20"/>
              </w:rPr>
              <w:t>Supply Agreement</w:t>
            </w:r>
            <w:r>
              <w:rPr>
                <w:rFonts w:ascii="Times New Roman;Times;serif" w:hAnsi="Times New Roman;Times;serif"/>
                <w:sz w:val="20"/>
              </w:rPr>
              <w:t xml:space="preserve">.  We granted </w:t>
            </w:r>
            <w:r>
              <w:rPr>
                <w:rStyle w:val="Emphasis"/>
                <w:rFonts w:ascii="Times New Roman;Times;serif" w:hAnsi="Times New Roman;Times;serif"/>
                <w:sz w:val="20"/>
              </w:rPr>
              <w:t>4Life,</w:t>
            </w:r>
            <w:r>
              <w:rPr>
                <w:rFonts w:ascii="Times New Roman;Times;serif" w:hAnsi="Times New Roman;Times;serif"/>
                <w:sz w:val="20"/>
              </w:rPr>
              <w:t xml:space="preserve"> or its affiliates and mutually-agreed upon manufacturing vendors (the “Buyer Purchasing Parties”) an exclusive right to purchase certain of our dietary supplement and non-pharmaceutical products (the “Licensed Products”), and agreed we shall exclusively sell the Licensed Products to the Buyer Purchasing Parties. The purchase price of Licensed Products shall be equal to our cost plus 20%. </w:t>
            </w:r>
            <w:r>
              <w:rPr>
                <w:rStyle w:val="Emphasis"/>
                <w:rFonts w:ascii="Times New Roman;Times;serif" w:hAnsi="Times New Roman;Times;serif"/>
                <w:sz w:val="20"/>
              </w:rPr>
              <w:t>4Life</w:t>
            </w:r>
            <w:r>
              <w:rPr>
                <w:rFonts w:ascii="Times New Roman;Times;serif" w:hAnsi="Times New Roman;Times;serif"/>
                <w:sz w:val="20"/>
              </w:rPr>
              <w:t xml:space="preserve"> must sell certain amounts of Licensed Products for the calendar years beginning in </w:t>
            </w:r>
            <w:r>
              <w:rPr>
                <w:rStyle w:val="Emphasis"/>
                <w:rFonts w:ascii="Times New Roman;Times;serif" w:hAnsi="Times New Roman;Times;serif"/>
                <w:sz w:val="20"/>
              </w:rPr>
              <w:t>2024</w:t>
            </w:r>
            <w:r>
              <w:rPr>
                <w:rFonts w:ascii="Times New Roman;Times;serif" w:hAnsi="Times New Roman;Times;serif"/>
                <w:sz w:val="20"/>
              </w:rPr>
              <w:t xml:space="preserve"> and extending through </w:t>
            </w:r>
            <w:r>
              <w:rPr>
                <w:rStyle w:val="Emphasis"/>
                <w:rFonts w:ascii="Times New Roman;Times;serif" w:hAnsi="Times New Roman;Times;serif"/>
                <w:sz w:val="20"/>
              </w:rPr>
              <w:t>2033</w:t>
            </w:r>
            <w:r>
              <w:rPr>
                <w:rFonts w:ascii="Times New Roman;Times;serif" w:hAnsi="Times New Roman;Times;serif"/>
                <w:sz w:val="20"/>
              </w:rPr>
              <w:t xml:space="preserve"> (the “Minimum Sales Commitment”), with Minimum Sales Commitments for years subsequent to </w:t>
            </w:r>
            <w:r>
              <w:rPr>
                <w:rStyle w:val="Emphasis"/>
                <w:rFonts w:ascii="Times New Roman;Times;serif" w:hAnsi="Times New Roman;Times;serif"/>
                <w:sz w:val="20"/>
              </w:rPr>
              <w:t>2033,</w:t>
            </w:r>
            <w:r>
              <w:rPr>
                <w:rFonts w:ascii="Times New Roman;Times;serif" w:hAnsi="Times New Roman;Times;serif"/>
                <w:sz w:val="20"/>
              </w:rPr>
              <w:t xml:space="preserve"> if applicable, to be negotiated between the Company and </w:t>
            </w:r>
            <w:r>
              <w:rPr>
                <w:rStyle w:val="Emphasis"/>
                <w:rFonts w:ascii="Times New Roman;Times;serif" w:hAnsi="Times New Roman;Times;serif"/>
                <w:sz w:val="20"/>
              </w:rPr>
              <w:t>4Life.</w:t>
            </w:r>
            <w:r>
              <w:rPr>
                <w:rFonts w:ascii="Times New Roman;Times;serif" w:hAnsi="Times New Roman;Times;serif"/>
                <w:sz w:val="20"/>
              </w:rPr>
              <w:t xml:space="preserve"> Effective </w:t>
            </w:r>
            <w:r>
              <w:rPr>
                <w:rStyle w:val="Emphasis"/>
                <w:rFonts w:ascii="Times New Roman;Times;serif" w:hAnsi="Times New Roman;Times;serif"/>
                <w:sz w:val="20"/>
              </w:rPr>
              <w:t xml:space="preserve">April 30, 2026, </w:t>
            </w:r>
            <w:r>
              <w:rPr>
                <w:rFonts w:ascii="Times New Roman;Times;serif" w:hAnsi="Times New Roman;Times;serif"/>
                <w:sz w:val="20"/>
              </w:rPr>
              <w:t xml:space="preserve">we permanently converted </w:t>
            </w:r>
            <w:r>
              <w:rPr>
                <w:rStyle w:val="Emphasis"/>
                <w:rFonts w:ascii="Times New Roman;Times;serif" w:hAnsi="Times New Roman;Times;serif"/>
                <w:sz w:val="20"/>
              </w:rPr>
              <w:t>4Life’s</w:t>
            </w:r>
            <w:r>
              <w:rPr>
                <w:rFonts w:ascii="Times New Roman;Times;serif" w:hAnsi="Times New Roman;Times;serif"/>
                <w:sz w:val="20"/>
              </w:rPr>
              <w:t xml:space="preserve"> exclusive rights to purchase Licensed Products to non-exclusive rights based on (i) </w:t>
            </w:r>
            <w:r>
              <w:rPr>
                <w:rStyle w:val="Emphasis"/>
                <w:rFonts w:ascii="Times New Roman;Times;serif" w:hAnsi="Times New Roman;Times;serif"/>
                <w:sz w:val="20"/>
              </w:rPr>
              <w:t>4Life’s</w:t>
            </w:r>
            <w:r>
              <w:rPr>
                <w:rFonts w:ascii="Times New Roman;Times;serif" w:hAnsi="Times New Roman;Times;serif"/>
                <w:sz w:val="20"/>
              </w:rPr>
              <w:t xml:space="preserve"> failure to achieve the Minimum Sales Commitment for </w:t>
            </w:r>
            <w:r>
              <w:rPr>
                <w:rStyle w:val="Emphasis"/>
                <w:rFonts w:ascii="Times New Roman;Times;serif" w:hAnsi="Times New Roman;Times;serif"/>
                <w:sz w:val="20"/>
              </w:rPr>
              <w:t>two</w:t>
            </w:r>
            <w:r>
              <w:rPr>
                <w:rFonts w:ascii="Times New Roman;Times;serif" w:hAnsi="Times New Roman;Times;serif"/>
                <w:sz w:val="20"/>
              </w:rPr>
              <w:t xml:space="preserve"> consecutive years, and (ii) </w:t>
            </w:r>
            <w:r>
              <w:rPr>
                <w:rStyle w:val="Emphasis"/>
                <w:rFonts w:ascii="Times New Roman;Times;serif" w:hAnsi="Times New Roman;Times;serif"/>
                <w:sz w:val="20"/>
              </w:rPr>
              <w:t>4Life’s</w:t>
            </w:r>
            <w:r>
              <w:rPr>
                <w:rFonts w:ascii="Times New Roman;Times;serif" w:hAnsi="Times New Roman;Times;serif"/>
                <w:sz w:val="20"/>
              </w:rPr>
              <w:t xml:space="preserve"> failure to pay additional royalty fees to maintain exclusivity (the “Exclusivity Provision”).</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sz w:val="20"/>
              </w:rPr>
              <w:t>License Agreement</w:t>
            </w:r>
            <w:r>
              <w:rPr>
                <w:rFonts w:ascii="Times New Roman;Times;serif" w:hAnsi="Times New Roman;Times;serif"/>
                <w:sz w:val="20"/>
              </w:rPr>
              <w:t xml:space="preserve">.  We granted </w:t>
            </w:r>
            <w:r>
              <w:rPr>
                <w:rStyle w:val="Emphasis"/>
                <w:rFonts w:ascii="Times New Roman;Times;serif" w:hAnsi="Times New Roman;Times;serif"/>
                <w:sz w:val="20"/>
              </w:rPr>
              <w:t>4Life</w:t>
            </w:r>
            <w:r>
              <w:rPr>
                <w:rFonts w:ascii="Times New Roman;Times;serif" w:hAnsi="Times New Roman;Times;serif"/>
                <w:sz w:val="20"/>
              </w:rPr>
              <w:t xml:space="preserve"> an exclusive, royalty-bearing license to use, sell, and commercialize the Licensed Products. On a quarterly basis, </w:t>
            </w:r>
            <w:r>
              <w:rPr>
                <w:rStyle w:val="Emphasis"/>
                <w:rFonts w:ascii="Times New Roman;Times;serif" w:hAnsi="Times New Roman;Times;serif"/>
                <w:sz w:val="20"/>
              </w:rPr>
              <w:t>4Life</w:t>
            </w:r>
            <w:r>
              <w:rPr>
                <w:rFonts w:ascii="Times New Roman;Times;serif" w:hAnsi="Times New Roman;Times;serif"/>
                <w:sz w:val="20"/>
              </w:rPr>
              <w:t xml:space="preserve"> shall pay us a royalty rate of 3% of incremental sales of Licensed Products, which is equal to the lesser of (a) the increase in net sales for the quarter over a base period quarter as determined in the License Agreement, or (b) net sales. Effective </w:t>
            </w:r>
            <w:r>
              <w:rPr>
                <w:rStyle w:val="Emphasis"/>
                <w:rFonts w:ascii="Times New Roman;Times;serif" w:hAnsi="Times New Roman;Times;serif"/>
                <w:sz w:val="20"/>
              </w:rPr>
              <w:t xml:space="preserve">April 30, 2026, </w:t>
            </w:r>
            <w:r>
              <w:rPr>
                <w:rFonts w:ascii="Times New Roman;Times;serif" w:hAnsi="Times New Roman;Times;serif"/>
                <w:sz w:val="20"/>
              </w:rPr>
              <w:t xml:space="preserve">we permanently converted </w:t>
            </w:r>
            <w:r>
              <w:rPr>
                <w:rStyle w:val="Emphasis"/>
                <w:rFonts w:ascii="Times New Roman;Times;serif" w:hAnsi="Times New Roman;Times;serif"/>
                <w:sz w:val="20"/>
              </w:rPr>
              <w:t>4Life’s</w:t>
            </w:r>
            <w:r>
              <w:rPr>
                <w:rFonts w:ascii="Times New Roman;Times;serif" w:hAnsi="Times New Roman;Times;serif"/>
                <w:sz w:val="20"/>
              </w:rPr>
              <w:t xml:space="preserve"> exclusive rights to use, sell, and commercialize the Licensed Products to non-exclusive rights as it failed to meet the Exclusivity Provision and did </w:t>
            </w:r>
            <w:r>
              <w:rPr>
                <w:rStyle w:val="Emphasis"/>
                <w:rFonts w:ascii="Times New Roman;Times;serif" w:hAnsi="Times New Roman;Times;serif"/>
                <w:sz w:val="20"/>
              </w:rPr>
              <w:t>not</w:t>
            </w:r>
            <w:r>
              <w:rPr>
                <w:rFonts w:ascii="Times New Roman;Times;serif" w:hAnsi="Times New Roman;Times;serif"/>
                <w:sz w:val="20"/>
              </w:rPr>
              <w:t xml:space="preserve"> pay us the difference between (a) the royalty fee that would otherwise have been earned by us if </w:t>
            </w:r>
            <w:r>
              <w:rPr>
                <w:rStyle w:val="Emphasis"/>
                <w:rFonts w:ascii="Times New Roman;Times;serif" w:hAnsi="Times New Roman;Times;serif"/>
                <w:sz w:val="20"/>
              </w:rPr>
              <w:t>4Life</w:t>
            </w:r>
            <w:r>
              <w:rPr>
                <w:rFonts w:ascii="Times New Roman;Times;serif" w:hAnsi="Times New Roman;Times;serif"/>
                <w:sz w:val="20"/>
              </w:rPr>
              <w:t xml:space="preserve"> had met the Minimum Sales Commitment and (b) actual royalties paid to us. The term of the License Agreement will continue until </w:t>
            </w:r>
            <w:r>
              <w:rPr>
                <w:rStyle w:val="Emphasis"/>
                <w:rFonts w:ascii="Times New Roman;Times;serif" w:hAnsi="Times New Roman;Times;serif"/>
                <w:sz w:val="20"/>
              </w:rPr>
              <w:t xml:space="preserve">December 31, 2033, </w:t>
            </w:r>
            <w:r>
              <w:rPr>
                <w:rFonts w:ascii="Times New Roman;Times;serif" w:hAnsi="Times New Roman;Times;serif"/>
                <w:sz w:val="20"/>
              </w:rPr>
              <w:t xml:space="preserve">unless earlier terminated pursuant to the License Agreement or Supply Agreement. The Amended </w:t>
            </w:r>
            <w:r>
              <w:rPr>
                <w:rStyle w:val="Emphasis"/>
                <w:rFonts w:ascii="Times New Roman;Times;serif" w:hAnsi="Times New Roman;Times;serif"/>
                <w:sz w:val="20"/>
              </w:rPr>
              <w:t>4Life</w:t>
            </w:r>
            <w:r>
              <w:rPr>
                <w:rFonts w:ascii="Times New Roman;Times;serif" w:hAnsi="Times New Roman;Times;serif"/>
                <w:sz w:val="20"/>
              </w:rPr>
              <w:t xml:space="preserve"> Agreements are renewable for additional five-year terms upon mutual agreement of the parties.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We currently provide (i) an aqueous zinc-silver ion dietary (mineral) supplement on a non-exclusive basis to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that is sold under the trade name Zinc Factor™, and (ii) an aqueous gold dietary (mineral) supplement of very low-concentration gold nanoparticles on an exclusive basis to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that is sold under the trade name Gold Factor™ and is subject to royalties. Total revenue under the Amended </w:t>
      </w:r>
      <w:r>
        <w:rPr>
          <w:rStyle w:val="Emphasis"/>
          <w:rFonts w:ascii="Times New Roman" w:hAnsi="Times New Roman"/>
          <w:caps w:val="false"/>
          <w:smallCaps w:val="false"/>
          <w:sz w:val="20"/>
        </w:rPr>
        <w:t>4Life</w:t>
      </w:r>
      <w:r>
        <w:rPr>
          <w:rFonts w:ascii="Times New Roman" w:hAnsi="Times New Roman"/>
          <w:caps w:val="false"/>
          <w:smallCaps w:val="false"/>
          <w:sz w:val="20"/>
        </w:rPr>
        <w:t xml:space="preserve"> Agreements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as follows:</w:t>
      </w:r>
    </w:p>
    <w:p>
      <w:pPr>
        <w:pStyle w:val="TextBody"/>
        <w:bidi w:val="0"/>
        <w:spacing w:before="0" w:after="0"/>
        <w:ind w:left="0" w:right="0" w:firstLine="50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2975"/>
        <w:gridCol w:w="60"/>
        <w:gridCol w:w="312"/>
        <w:gridCol w:w="575"/>
        <w:gridCol w:w="150"/>
        <w:gridCol w:w="150"/>
        <w:gridCol w:w="312"/>
        <w:gridCol w:w="650"/>
        <w:gridCol w:w="60"/>
        <w:gridCol w:w="60"/>
        <w:gridCol w:w="236"/>
        <w:gridCol w:w="634"/>
        <w:gridCol w:w="113"/>
        <w:gridCol w:w="113"/>
        <w:gridCol w:w="236"/>
        <w:gridCol w:w="634"/>
        <w:gridCol w:w="6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from related parties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 from related parties</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 from related parties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sz w:val="20"/>
        </w:rPr>
        <w:t xml:space="preserve">Note </w:t>
      </w:r>
      <w:r>
        <w:rPr>
          <w:rStyle w:val="Emphasis"/>
          <w:rFonts w:ascii="Times New Roman" w:hAnsi="Times New Roman"/>
          <w:b/>
          <w:sz w:val="20"/>
        </w:rPr>
        <w:t>16.</w:t>
      </w:r>
      <w:r>
        <w:rPr>
          <w:rFonts w:ascii="Times New Roman" w:hAnsi="Times New Roman"/>
          <w:b/>
          <w:sz w:val="20"/>
        </w:rPr>
        <w:t xml:space="preserve"> Geographic and Segment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Geographic Information</w:t>
      </w:r>
    </w:p>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 w:hAnsi="Times New Roman"/>
          <w:sz w:val="20"/>
        </w:rPr>
      </w:pPr>
      <w:r>
        <w:rPr>
          <w:rFonts w:ascii="Times New Roman" w:hAnsi="Times New Roman"/>
          <w:sz w:val="20"/>
        </w:rPr>
        <w:t>All our long-lived assets, composed of property and equipment, net by location, were held in the U.S. All our revenue from external customers was generated in the U.S.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Times;serif" w:hAnsi="Times New Roman;Times;serif"/>
          <w:sz w:val="20"/>
        </w:rPr>
        <w:t>25</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Segment Information</w:t>
      </w:r>
    </w:p>
    <w:p>
      <w:pPr>
        <w:pStyle w:val="TextBody"/>
        <w:bidi w:val="0"/>
        <w:spacing w:before="0" w:after="0"/>
        <w:ind w:left="0" w:right="0" w:hanging="0"/>
        <w:jc w:val="both"/>
        <w:rPr/>
      </w:pPr>
      <w:r>
        <w:rPr/>
        <w:t> </w:t>
      </w:r>
    </w:p>
    <w:p>
      <w:pPr>
        <w:pStyle w:val="TextBody"/>
        <w:bidi w:val="0"/>
        <w:spacing w:before="0" w:after="0"/>
        <w:ind w:left="0" w:right="0" w:firstLine="500"/>
        <w:jc w:val="both"/>
        <w:rPr/>
      </w:pPr>
      <w:r>
        <w:rPr>
          <w:rFonts w:ascii="Times New Roman" w:hAnsi="Times New Roman"/>
          <w:sz w:val="20"/>
        </w:rPr>
        <w:t xml:space="preserve">Our Products segment measures of profit and loss is consolidated loss from operations, and its measure of total assets is consolidated total assets. Our CODM uses loss from operations predominantly in the annual budget and forecasting process to monitor variances in budget versus actual results along with consolidated total assets to determine resource allocation. Segment revenue from external customers, significant segment non-cash items, and other significant segment expense categories included within the measure of profit and loss and provided to our CODM were all based on their consolidated amounts. During the </w:t>
      </w:r>
      <w:r>
        <w:rPr>
          <w:rStyle w:val="Emphasis"/>
          <w:rFonts w:ascii="Times New Roman" w:hAnsi="Times New Roman"/>
          <w:sz w:val="20"/>
        </w:rPr>
        <w:t>three</w:t>
      </w:r>
      <w:r>
        <w:rPr>
          <w:rFonts w:ascii="Times New Roman" w:hAnsi="Times New Roman"/>
          <w:sz w:val="20"/>
        </w:rPr>
        <w:t xml:space="preserve"> and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these items were as follows:</w:t>
      </w:r>
    </w:p>
    <w:p>
      <w:pPr>
        <w:pStyle w:val="TextBody"/>
        <w:bidi w:val="0"/>
        <w:spacing w:before="0" w:after="0"/>
        <w:ind w:left="0" w:right="0" w:firstLine="500"/>
        <w:jc w:val="both"/>
        <w:rPr/>
      </w:pPr>
      <w:r>
        <w:rPr/>
        <w:t> </w:t>
      </w:r>
    </w:p>
    <w:tbl>
      <w:tblPr>
        <w:tblW w:w="9844" w:type="dxa"/>
        <w:jc w:val="left"/>
        <w:tblInd w:w="0" w:type="dxa"/>
        <w:tblLayout w:type="fixed"/>
        <w:tblCellMar>
          <w:top w:w="0" w:type="dxa"/>
          <w:left w:w="0" w:type="dxa"/>
          <w:bottom w:w="0" w:type="dxa"/>
          <w:right w:w="0" w:type="dxa"/>
        </w:tblCellMar>
      </w:tblPr>
      <w:tblGrid>
        <w:gridCol w:w="5450"/>
        <w:gridCol w:w="60"/>
        <w:gridCol w:w="181"/>
        <w:gridCol w:w="791"/>
        <w:gridCol w:w="116"/>
        <w:gridCol w:w="87"/>
        <w:gridCol w:w="181"/>
        <w:gridCol w:w="791"/>
        <w:gridCol w:w="80"/>
        <w:gridCol w:w="60"/>
        <w:gridCol w:w="166"/>
        <w:gridCol w:w="725"/>
        <w:gridCol w:w="106"/>
        <w:gridCol w:w="79"/>
        <w:gridCol w:w="166"/>
        <w:gridCol w:w="725"/>
        <w:gridCol w:w="80"/>
      </w:tblGrid>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revenue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sz w:val="20"/>
              </w:rPr>
            </w:pPr>
            <w:r>
              <w:rPr>
                <w:sz w:val="20"/>
              </w:rPr>
              <w:t>$</w:t>
            </w:r>
          </w:p>
        </w:tc>
        <w:tc>
          <w:tcPr>
            <w:tcW w:w="791" w:type="dxa"/>
            <w:tcBorders/>
            <w:shd w:fill="CCEEFF" w:val="clear"/>
            <w:vAlign w:val="center"/>
          </w:tcPr>
          <w:p>
            <w:pPr>
              <w:pStyle w:val="TableContents"/>
              <w:bidi w:val="0"/>
              <w:spacing w:before="0" w:after="283"/>
              <w:ind w:left="0" w:right="0" w:hanging="0"/>
              <w:jc w:val="right"/>
              <w:rPr>
                <w:sz w:val="20"/>
              </w:rPr>
            </w:pPr>
            <w:r>
              <w:rPr>
                <w:sz w:val="20"/>
              </w:rPr>
              <w:t>90</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sz w:val="20"/>
              </w:rPr>
            </w:pPr>
            <w:r>
              <w:rPr>
                <w:sz w:val="20"/>
              </w:rPr>
              <w:t>$</w:t>
            </w:r>
          </w:p>
        </w:tc>
        <w:tc>
          <w:tcPr>
            <w:tcW w:w="791" w:type="dxa"/>
            <w:tcBorders/>
            <w:shd w:fill="CCEEFF" w:val="clear"/>
            <w:vAlign w:val="center"/>
          </w:tcPr>
          <w:p>
            <w:pPr>
              <w:pStyle w:val="TableContents"/>
              <w:bidi w:val="0"/>
              <w:spacing w:before="0" w:after="283"/>
              <w:ind w:left="0" w:right="0" w:hanging="0"/>
              <w:jc w:val="right"/>
              <w:rPr>
                <w:sz w:val="20"/>
              </w:rPr>
            </w:pPr>
            <w:r>
              <w:rPr>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sz w:val="20"/>
              </w:rPr>
            </w:pPr>
            <w:r>
              <w:rPr>
                <w:sz w:val="20"/>
              </w:rPr>
              <w:t>$</w:t>
            </w:r>
          </w:p>
        </w:tc>
        <w:tc>
          <w:tcPr>
            <w:tcW w:w="725" w:type="dxa"/>
            <w:tcBorders/>
            <w:shd w:fill="CCEEFF" w:val="clear"/>
            <w:vAlign w:val="center"/>
          </w:tcPr>
          <w:p>
            <w:pPr>
              <w:pStyle w:val="TableContents"/>
              <w:bidi w:val="0"/>
              <w:spacing w:before="0" w:after="283"/>
              <w:ind w:left="0" w:right="0" w:hanging="0"/>
              <w:jc w:val="right"/>
              <w:rPr>
                <w:sz w:val="20"/>
              </w:rPr>
            </w:pPr>
            <w:r>
              <w:rPr>
                <w:sz w:val="20"/>
              </w:rPr>
              <w:t>105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sz w:val="20"/>
              </w:rPr>
            </w:pPr>
            <w:r>
              <w:rPr>
                <w:sz w:val="20"/>
              </w:rPr>
              <w:t>$</w:t>
            </w:r>
          </w:p>
        </w:tc>
        <w:tc>
          <w:tcPr>
            <w:tcW w:w="725" w:type="dxa"/>
            <w:tcBorders/>
            <w:shd w:fill="CCEEFF" w:val="clear"/>
            <w:vAlign w:val="center"/>
          </w:tcPr>
          <w:p>
            <w:pPr>
              <w:pStyle w:val="TableContents"/>
              <w:bidi w:val="0"/>
              <w:spacing w:before="0" w:after="283"/>
              <w:ind w:left="0" w:right="0" w:hanging="0"/>
              <w:jc w:val="right"/>
              <w:rPr>
                <w:sz w:val="20"/>
              </w:rPr>
            </w:pPr>
            <w:r>
              <w:rPr>
                <w:sz w:val="20"/>
              </w:rPr>
              <w:t>108</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36</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36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20</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CNM-Au8:</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Amyotrophic lateral sclerosis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712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1,536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2,811</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Multiple sclerosis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107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189</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activities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371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567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260</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General/preclinical/nonclinical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101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121</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82</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393</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784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805</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336</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674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675</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522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155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270</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10</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7</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24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84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28</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32</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49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64</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technology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76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143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119</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2,188</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2,100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4,211</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4,260</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526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1,240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1,546</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 as a reduction of research and development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(1,864</w:t>
            </w:r>
          </w:p>
        </w:tc>
        <w:tc>
          <w:tcPr>
            <w:tcW w:w="116"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(2,058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(5,914</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(6,225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450" w:type="dxa"/>
            <w:tcBorders/>
            <w:shd w:fill="FFFFFF" w:val="clear"/>
            <w:vAlign w:val="center"/>
          </w:tcPr>
          <w:p>
            <w:pPr>
              <w:pStyle w:val="TableContents"/>
              <w:bidi w:val="0"/>
              <w:spacing w:lineRule="auto" w:line="288" w:before="0" w:after="0"/>
              <w:ind w:left="540" w:right="0" w:hanging="180"/>
              <w:jc w:val="left"/>
              <w:rPr>
                <w:rFonts w:ascii="Times New Roman;Times;serif" w:hAnsi="Times New Roman;Times;serif"/>
                <w:sz w:val="20"/>
              </w:rPr>
            </w:pPr>
            <w:r>
              <w:rPr>
                <w:rFonts w:ascii="Times New Roman;Times;serif" w:hAnsi="Times New Roman;Times;serif"/>
                <w:sz w:val="20"/>
              </w:rPr>
              <w:t>Other segment items ‒ Research and development(1)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33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104</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177</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328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362</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144</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195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323</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accounting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155</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488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530</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and investor relations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109</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202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230</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30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63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61</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17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34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95</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technology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40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62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96</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779</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1,417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1,620</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514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sz w:val="20"/>
              </w:rPr>
            </w:pPr>
            <w:r>
              <w:rPr>
                <w:sz w:val="20"/>
              </w:rPr>
              <w:t>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1,112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sz w:val="20"/>
              </w:rPr>
            </w:pPr>
            <w:r>
              <w:rPr>
                <w:sz w:val="20"/>
              </w:rPr>
              <w:t>1,768</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 as a reduction of general and administrative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(93</w:t>
            </w:r>
          </w:p>
        </w:tc>
        <w:tc>
          <w:tcPr>
            <w:tcW w:w="116"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sz w:val="20"/>
              </w:rPr>
            </w:pPr>
            <w:r>
              <w:rPr>
                <w:sz w:val="20"/>
              </w:rPr>
              <w:t>(65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(329</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sz w:val="20"/>
              </w:rPr>
            </w:pPr>
            <w:r>
              <w:rPr>
                <w:sz w:val="20"/>
              </w:rPr>
              <w:t>(228</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450" w:type="dxa"/>
            <w:tcBorders/>
            <w:shd w:fill="FFFFFF" w:val="clear"/>
            <w:vAlign w:val="center"/>
          </w:tcPr>
          <w:p>
            <w:pPr>
              <w:pStyle w:val="TableContents"/>
              <w:bidi w:val="0"/>
              <w:spacing w:lineRule="auto" w:line="288" w:before="0" w:after="0"/>
              <w:ind w:left="540" w:right="0" w:hanging="180"/>
              <w:jc w:val="left"/>
              <w:rPr>
                <w:rFonts w:ascii="Times New Roman;Times;serif" w:hAnsi="Times New Roman;Times;serif"/>
                <w:sz w:val="20"/>
              </w:rPr>
            </w:pPr>
            <w:r>
              <w:rPr>
                <w:rFonts w:ascii="Times New Roman;Times;serif" w:hAnsi="Times New Roman;Times;serif"/>
                <w:sz w:val="20"/>
              </w:rPr>
              <w:t>Other segment items ‒ General and administrative(2)</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58</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176</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loss from operations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(5,347</w:t>
            </w:r>
          </w:p>
        </w:tc>
        <w:tc>
          <w:tcPr>
            <w:tcW w:w="116"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(5,864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(7,408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(9,940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Reconciliation of segment loss from operations: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and reconciling items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(5,347</w:t>
            </w:r>
          </w:p>
        </w:tc>
        <w:tc>
          <w:tcPr>
            <w:tcW w:w="116"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(5,864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(7,408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(9,940</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HorizontalLine"/>
        <w:pBdr>
          <w:bottom w:val="double" w:sz="2" w:space="0" w:color="808080"/>
        </w:pBdr>
        <w:bidi w:val="0"/>
        <w:spacing w:before="0" w:after="283"/>
        <w:jc w:val="left"/>
        <w:rPr/>
      </w:pPr>
      <w:r>
        <w:rPr/>
      </w:r>
    </w:p>
    <w:tbl>
      <w:tblPr>
        <w:tblW w:w="8140" w:type="dxa"/>
        <w:jc w:val="left"/>
        <w:tblInd w:w="0" w:type="dxa"/>
        <w:tblLayout w:type="fixed"/>
        <w:tblCellMar>
          <w:top w:w="0" w:type="dxa"/>
          <w:left w:w="0" w:type="dxa"/>
          <w:bottom w:w="0" w:type="dxa"/>
          <w:right w:w="0" w:type="dxa"/>
        </w:tblCellMar>
      </w:tblPr>
      <w:tblGrid>
        <w:gridCol w:w="60"/>
        <w:gridCol w:w="230"/>
        <w:gridCol w:w="78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1</w:t>
            </w:r>
            <w:r>
              <w:rPr>
                <w:rFonts w:ascii="Times New Roman;Times;serif" w:hAnsi="Times New Roman;Times;serif"/>
                <w:sz w:val="16"/>
              </w:rPr>
              <w:t>)</w:t>
            </w:r>
          </w:p>
        </w:tc>
        <w:tc>
          <w:tcPr>
            <w:tcW w:w="785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Includes expenses for travel, meals, dues, subscriptions, continuing education, and other miscellaneous expenses.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sz w:val="16"/>
              </w:rPr>
              <w:t>(</w:t>
            </w:r>
            <w:r>
              <w:rPr>
                <w:rStyle w:val="Emphasis"/>
                <w:sz w:val="16"/>
              </w:rPr>
              <w:t>2</w:t>
            </w:r>
            <w:r>
              <w:rPr>
                <w:sz w:val="16"/>
              </w:rPr>
              <w:t>)</w:t>
            </w:r>
          </w:p>
        </w:tc>
        <w:tc>
          <w:tcPr>
            <w:tcW w:w="99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Includes expenses for travel, meals, dues, subscriptions, continuing education, lobbying, banking fees, postage, and other office and miscellaneous expenses.</w:t>
            </w:r>
          </w:p>
        </w:tc>
      </w:tr>
    </w:tbl>
    <w:p>
      <w:pPr>
        <w:pStyle w:val="TextBody"/>
        <w:bidi w:val="0"/>
        <w:spacing w:before="0" w:after="0"/>
        <w:ind w:left="0" w:right="0" w:firstLine="500"/>
        <w:jc w:val="both"/>
        <w:rPr/>
      </w:pPr>
      <w:r>
        <w:rPr/>
        <w:t> </w:t>
      </w:r>
    </w:p>
    <w:p>
      <w:pPr>
        <w:pStyle w:val="TextBody"/>
        <w:bidi w:val="0"/>
        <w:spacing w:before="0" w:after="0"/>
        <w:jc w:val="center"/>
        <w:rPr/>
      </w:pPr>
      <w:r>
        <w:rPr>
          <w:rStyle w:val="Emphasis"/>
          <w:rFonts w:ascii="Times New Roman;Times;serif" w:hAnsi="Times New Roman;Times;serif"/>
          <w:sz w:val="20"/>
        </w:rPr>
        <w:t>26</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sz w:val="20"/>
        </w:rPr>
        <w:t xml:space="preserve">Our revenue during the </w:t>
      </w:r>
      <w:r>
        <w:rPr>
          <w:rStyle w:val="Emphasis"/>
          <w:rFonts w:ascii="Times New Roman" w:hAnsi="Times New Roman"/>
          <w:sz w:val="20"/>
        </w:rPr>
        <w:t>three</w:t>
      </w:r>
      <w:r>
        <w:rPr>
          <w:rFonts w:ascii="Times New Roman" w:hAnsi="Times New Roman"/>
          <w:sz w:val="20"/>
        </w:rPr>
        <w:t xml:space="preserve"> and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was predominantly with a single customer, </w:t>
      </w:r>
      <w:r>
        <w:rPr>
          <w:rStyle w:val="Emphasis"/>
          <w:rFonts w:ascii="Times New Roman" w:hAnsi="Times New Roman"/>
          <w:sz w:val="20"/>
        </w:rPr>
        <w:t>4Life,</w:t>
      </w:r>
      <w:r>
        <w:rPr>
          <w:rFonts w:ascii="Times New Roman" w:hAnsi="Times New Roman"/>
          <w:sz w:val="20"/>
        </w:rPr>
        <w:t xml:space="preserve"> through our Amended </w:t>
      </w:r>
      <w:r>
        <w:rPr>
          <w:rStyle w:val="Emphasis"/>
          <w:rFonts w:ascii="Times New Roman" w:hAnsi="Times New Roman"/>
          <w:sz w:val="20"/>
        </w:rPr>
        <w:t>4Life</w:t>
      </w:r>
      <w:r>
        <w:rPr>
          <w:rFonts w:ascii="Times New Roman" w:hAnsi="Times New Roman"/>
          <w:sz w:val="20"/>
        </w:rPr>
        <w:t xml:space="preserve"> Agreements (see Note </w:t>
      </w:r>
      <w:r>
        <w:rPr>
          <w:rStyle w:val="Emphasis"/>
          <w:rFonts w:ascii="Times New Roman" w:hAnsi="Times New Roman"/>
          <w:sz w:val="20"/>
        </w:rPr>
        <w:t>15</w:t>
      </w:r>
      <w:r>
        <w:rPr>
          <w:rFonts w:ascii="Times New Roman" w:hAnsi="Times New Roman"/>
          <w:sz w:val="20"/>
        </w:rPr>
        <w:t xml:space="preserve">). A reconciliation of the total of the Products segment loss from operations to consolidated net loss before income taxes for the </w:t>
      </w:r>
      <w:r>
        <w:rPr>
          <w:rStyle w:val="Emphasis"/>
          <w:rFonts w:ascii="Times New Roman" w:hAnsi="Times New Roman"/>
          <w:sz w:val="20"/>
        </w:rPr>
        <w:t>three</w:t>
      </w:r>
      <w:r>
        <w:rPr>
          <w:rFonts w:ascii="Times New Roman" w:hAnsi="Times New Roman"/>
          <w:sz w:val="20"/>
        </w:rPr>
        <w:t xml:space="preserve"> and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was as follows:</w:t>
      </w:r>
    </w:p>
    <w:p>
      <w:pPr>
        <w:pStyle w:val="TextBody"/>
        <w:bidi w:val="0"/>
        <w:spacing w:before="0" w:after="0"/>
        <w:ind w:left="0" w:right="0" w:firstLine="500"/>
        <w:jc w:val="both"/>
        <w:rPr/>
      </w:pPr>
      <w:r>
        <w:rPr/>
        <w:t> </w:t>
      </w:r>
    </w:p>
    <w:tbl>
      <w:tblPr>
        <w:tblW w:w="7354" w:type="dxa"/>
        <w:jc w:val="left"/>
        <w:tblInd w:w="0" w:type="dxa"/>
        <w:tblLayout w:type="fixed"/>
        <w:tblCellMar>
          <w:top w:w="0" w:type="dxa"/>
          <w:left w:w="0" w:type="dxa"/>
          <w:bottom w:w="0" w:type="dxa"/>
          <w:right w:w="0" w:type="dxa"/>
        </w:tblCellMar>
      </w:tblPr>
      <w:tblGrid>
        <w:gridCol w:w="2960"/>
        <w:gridCol w:w="60"/>
        <w:gridCol w:w="169"/>
        <w:gridCol w:w="881"/>
        <w:gridCol w:w="108"/>
        <w:gridCol w:w="81"/>
        <w:gridCol w:w="169"/>
        <w:gridCol w:w="739"/>
        <w:gridCol w:w="80"/>
        <w:gridCol w:w="60"/>
        <w:gridCol w:w="155"/>
        <w:gridCol w:w="807"/>
        <w:gridCol w:w="99"/>
        <w:gridCol w:w="74"/>
        <w:gridCol w:w="155"/>
        <w:gridCol w:w="677"/>
        <w:gridCol w:w="8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net(1)</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(21,515</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9985" w:type="dxa"/>
        <w:jc w:val="left"/>
        <w:tblInd w:w="0" w:type="dxa"/>
        <w:tblLayout w:type="fixed"/>
        <w:tblCellMar>
          <w:top w:w="0" w:type="dxa"/>
          <w:left w:w="0" w:type="dxa"/>
          <w:bottom w:w="0" w:type="dxa"/>
          <w:right w:w="0" w:type="dxa"/>
        </w:tblCellMar>
      </w:tblPr>
      <w:tblGrid>
        <w:gridCol w:w="60"/>
        <w:gridCol w:w="230"/>
        <w:gridCol w:w="96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Times;serif" w:hAnsi="Times New Roman;Times;serif"/>
                <w:sz w:val="16"/>
              </w:rPr>
              <w:t>(</w:t>
            </w:r>
            <w:r>
              <w:rPr>
                <w:rStyle w:val="Emphasis"/>
                <w:rFonts w:ascii="Times New Roman;Times;serif" w:hAnsi="Times New Roman;Times;serif"/>
                <w:sz w:val="16"/>
              </w:rPr>
              <w:t>1</w:t>
            </w:r>
            <w:r>
              <w:rPr>
                <w:rFonts w:ascii="Times New Roman;Times;serif" w:hAnsi="Times New Roman;Times;serif"/>
                <w:sz w:val="16"/>
              </w:rPr>
              <w:t>)</w:t>
            </w:r>
          </w:p>
        </w:tc>
        <w:tc>
          <w:tcPr>
            <w:tcW w:w="969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Represents consolidated total other income (expense), net, as reported on the consolidated statements of operations and comprehensive loss.</w:t>
            </w:r>
          </w:p>
        </w:tc>
      </w:tr>
    </w:tbl>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 w:hAnsi="Times New Roman"/>
          <w:sz w:val="20"/>
        </w:rPr>
        <w:t xml:space="preserve">Products segment assets exclude corporate assets, such as cash, restricted cash, and corporate facilities. Total assets as of </w:t>
      </w:r>
      <w:r>
        <w:rPr>
          <w:rStyle w:val="Emphasis"/>
          <w:rFonts w:ascii="Times New Roman" w:hAnsi="Times New Roman"/>
          <w:sz w:val="20"/>
        </w:rPr>
        <w:t>June 30, 2026</w:t>
      </w:r>
      <w:r>
        <w:rPr>
          <w:rFonts w:ascii="Times New Roman" w:hAnsi="Times New Roman"/>
          <w:sz w:val="20"/>
        </w:rPr>
        <w:t> and </w:t>
      </w:r>
      <w:r>
        <w:rPr>
          <w:rStyle w:val="Emphasis"/>
          <w:rFonts w:ascii="Times New Roman" w:hAnsi="Times New Roman"/>
          <w:sz w:val="20"/>
        </w:rPr>
        <w:t xml:space="preserve"> December 31, 2025</w:t>
      </w:r>
      <w:r>
        <w:rPr>
          <w:rFonts w:ascii="Times New Roman" w:hAnsi="Times New Roman"/>
          <w:sz w:val="20"/>
        </w:rPr>
        <w:t> were as follows:</w:t>
      </w:r>
    </w:p>
    <w:p>
      <w:pPr>
        <w:pStyle w:val="TextBody"/>
        <w:bidi w:val="0"/>
        <w:spacing w:before="0" w:after="0"/>
        <w:ind w:left="0" w:right="0" w:firstLine="500"/>
        <w:jc w:val="both"/>
        <w:rPr/>
      </w:pPr>
      <w:r>
        <w:rPr/>
        <w:t> </w:t>
      </w:r>
    </w:p>
    <w:tbl>
      <w:tblPr>
        <w:tblW w:w="3064"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172"/>
        <w:gridCol w:w="822"/>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December 31,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12,828</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pPr>
      <w:r>
        <w:rPr/>
        <w:t> </w:t>
      </w:r>
    </w:p>
    <w:p>
      <w:pPr>
        <w:pStyle w:val="TextBody"/>
        <w:bidi w:val="0"/>
        <w:spacing w:before="0" w:after="0"/>
        <w:ind w:left="0" w:right="0" w:firstLine="500"/>
        <w:jc w:val="both"/>
        <w:rPr/>
      </w:pPr>
      <w:r>
        <w:rPr>
          <w:rFonts w:ascii="Times New Roman" w:hAnsi="Times New Roman"/>
          <w:sz w:val="20"/>
        </w:rPr>
        <w:t xml:space="preserve">Additions to long-lived assets during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June 30, 2026</w:t>
      </w:r>
      <w:r>
        <w:rPr>
          <w:rFonts w:ascii="Times New Roman" w:hAnsi="Times New Roman"/>
          <w:sz w:val="20"/>
        </w:rPr>
        <w:t xml:space="preserve"> were insignificant. We had </w:t>
      </w:r>
      <w:r>
        <w:rPr>
          <w:rStyle w:val="Emphasis"/>
          <w:rFonts w:ascii="Times New Roman" w:hAnsi="Times New Roman"/>
          <w:sz w:val="20"/>
        </w:rPr>
        <w:t>no</w:t>
      </w:r>
      <w:r>
        <w:rPr>
          <w:rFonts w:ascii="Times New Roman" w:hAnsi="Times New Roman"/>
          <w:sz w:val="20"/>
        </w:rPr>
        <w:t xml:space="preserve"> additions during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June 30, 2025</w:t>
      </w:r>
      <w:r>
        <w:rPr>
          <w:rFonts w:ascii="Times New Roman" w:hAnsi="Times New Roman"/>
          <w:sz w:val="20"/>
        </w:rPr>
        <w:t>.</w:t>
      </w:r>
    </w:p>
    <w:p>
      <w:pPr>
        <w:pStyle w:val="TextBody"/>
        <w:bidi w:val="0"/>
        <w:spacing w:before="0" w:after="0"/>
        <w:ind w:left="0" w:right="0" w:firstLine="500"/>
        <w:jc w:val="both"/>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Item_2._Managements_Discussion_and_Analy"/>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Unless the context otherwise requires, for purposes of this section, the terms 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are intended to mean the business and operations of Clene Inc. and its consolidated subsidiaries.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a clinical-stage pharmaceutical company pioneering the discovery, development, and commercialization of novel clean-surfaced nanotechnology (“CSN®”) therapeutics. CSN®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materials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wholly-owned subsidiary, dOrbital, Inc., or through an exclusive license with 4Life Research LLC (“4Life”), an international supplier of health supplements, stockholder, debt holder, and related party. We anticipate this revenue to be small compared to our operating expenses and to the revenue we expect to generate from potential future sales of our drug candidates, for which we are currently conducting clinical trials.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Developments of Our Clinical Programs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Amyotrophic Lateral Sclerosis</w:t>
      </w:r>
    </w:p>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In August 2026, we announced the results from new biomarker analyses examining clinical outcomes among CNM-Au8®-treated patients in our two completed Phase 2 ALS trials. Patients whose neurofilament light chain (“NfL”) biomarker levels declined or stabilized lived significantly longer than concurrently randomized controls and had significantly better outcomes on combined measures of survival and function, including daily function (ALSFRS-R) and breathing capacity (Slow Vital Capacity), than concurrently randomized controls. These post hoc exploratory findings will be included in our planned new drug application (“NDA”) seeking accelerated approval and are intended to address the questions raised by the U.S. Food and Drug Administration (“FDA”) during a March 2026 Type C meeting. At that meeting, the FDA acknowledged that NfL, a recognized blood marker of nerve-cell injury, has established prognostic value in ALS and could potentially serve as a reasonably likely surrogate endpoint to support accelerated approval.</w:t>
      </w:r>
    </w:p>
    <w:p>
      <w:pPr>
        <w:pStyle w:val="TextBody"/>
        <w:bidi w:val="0"/>
        <w:spacing w:before="0" w:after="0"/>
        <w:ind w:left="0" w:right="0" w:firstLine="50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We intend to submit our NDA in early fourth quarter of 2026, which will remain a matter of FDA review. The planned NDA submission will be supported by NfL biomarker and clinical data from the Phase 2 HEALEY ALS Platform Trial and its open-label extension, as well as the Phase 2 RESCUE-ALS Trial, and the National Institutes of Health-sponsored expanded access protocol for CNM-Au8. We plan to initiate a Phase 3 RESTORE-ALS trial during the second quarter of 2027, which will serve as the post-approval confirmatory study.</w:t>
      </w:r>
    </w:p>
    <w:p>
      <w:pPr>
        <w:pStyle w:val="TextBody"/>
        <w:bidi w:val="0"/>
        <w:spacing w:before="0" w:after="0"/>
        <w:ind w:left="0" w:right="0" w:firstLine="50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Multiple Sclerosis</w:t>
      </w:r>
    </w:p>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 w:hAnsi="Times New Roman"/>
          <w:sz w:val="20"/>
        </w:rPr>
      </w:pPr>
      <w:r>
        <w:rPr>
          <w:rFonts w:ascii="Times New Roman" w:hAnsi="Times New Roman"/>
          <w:sz w:val="20"/>
        </w:rPr>
        <w:t>We met with the FDA in a Type B end of Phase 2 meeting during the third quarter of 2025 to review results from the Phase 2 VISIONARY-MS trial and discuss a planned Phase 3 study focusing on cognition improvement as an adjunct to standard-of-care MS therapies, addressing a critical unmet medical need for people struggling with MS. The FDA aligned with the Company acknowledging the limitations of the Expanded Disability Status Scale, a global measure of MS disease severity, and expressed openness to considering other potential primary endpoints, including cognition, to evaluate broader treatment effects. We plan to work closely with regulatory health authorities from the FDA, European Medicines Agency and other international regulatory bodies, MS experts, and patient representatives to determine the proper path to advance CNM-Au8 into Phase 3 and potential future approval. We also believe that once CNM-Au8 receives regulatory approval in another indication, licensing opportunities for the MS indication will improve.</w:t>
      </w:r>
    </w:p>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 w:hAnsi="Times New Roman"/>
          <w:sz w:val="20"/>
        </w:rPr>
      </w:pPr>
      <w:r>
        <w:rPr>
          <w:rFonts w:ascii="Times New Roman" w:hAnsi="Times New Roman"/>
          <w:sz w:val="20"/>
        </w:rPr>
        <w:t>The chart below reflects the growing body of evidence for CSN therapeutics from our completed and ongoing clinical programs.</w:t>
      </w:r>
    </w:p>
    <w:p>
      <w:pPr>
        <w:pStyle w:val="TextBody"/>
        <w:bidi w:val="0"/>
        <w:spacing w:before="0" w:after="0"/>
        <w:ind w:left="0" w:right="0" w:firstLine="500"/>
        <w:jc w:val="both"/>
        <w:rPr/>
      </w:pPr>
      <w:r>
        <w:rPr/>
        <w:t> </w:t>
      </w:r>
    </w:p>
    <w:p>
      <w:pPr>
        <w:pStyle w:val="TextBody"/>
        <w:bidi w:val="0"/>
        <w:ind w:left="0" w:right="0" w:hanging="0"/>
        <w:jc w:val="center"/>
        <w:rPr/>
      </w:pPr>
      <w:r>
        <w:rPr/>
        <w:drawing>
          <wp:inline distT="0" distB="0" distL="0" distR="0">
            <wp:extent cx="929640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96400" cy="3771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financial condition, results of operations, and the period-to-period comparability of our financial results are principally affected by the following factors: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discovery and development of novel drug candidates requires a significant investment of resources over a prolonged period of time, and a core part of our strategy is to continue making sustained investments in this area. As a result of this commitment, our pipeline of drug candidates has been advancing, with substantially all our research and development expenses relating to our lead asset, CNM-Au8.</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research and development expenses are affected by the scope and advancement of our existing product pipeline and the commencement of new drug programs. Drug candidates in later stages of clinical development generally have higher development costs than those in earlier stages, primarily due to costs and fees for per patient clinical trial sites for larger clinical trials, opening and monitoring clinical sites, contract research organization (“CRO”) activity, and manufacturing. We anticipate that our research and development expenses will increase in future years if and when we advance our assets into Phase 3. Additionally, if we are able to file an NDA with the FDA under an accelerated approval pathway or subsequent to future Phase 3 clinical development activities, if any, we anticipate that our research and development expenses related to regulatory activities would increase in advance of receiving regulatory approval.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costs consist primarily of payroll and personnel expenses for salaries, benefits, and stock-based compensation; supplies, materials, and manufacturing expenses to support our clinical trials; payments to CROs, principal investigators, and clinical trial sites; costs of preclinical and nonclinical activities; consulting costs; and allocated overhead costs, including rent, equipment, utilities, depreciation, insurance, maintenance, and information technology. Research and development costs are charged to operations as incurred, and nonrefundable advance payments related to future research and development activities are initially recorded as assets and are expensed when we receive the related goods or services. Grant funding is recognized as a reduction in research and development costs.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clinical trial accrual process seeks to account for expenses resulting from obligations under contracts with CROs, consultants, and clinical sites in connection with conducting clinical trials. The financial terms of these contracts vary and may result in payment flows that do not match the periods over which materials or services are provided to us under such contracts. We reflect the appropriate clinical trial expenses in the condensed consolidated financial statements by matching the appropriate expenses with the period in which services are performed. In the event advance payments are made to CROs, the payments are recorded as prepaid assets and expensed over the period in which services are performed.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payroll and personnel expenses for salaries, benefits, and stock-based compensation; fees for legal, finance, accounting, tax, and information technology services; insurance costs; expenses for public and investor relations; rent, utilities, depreciation, and other costs related to our facilities.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anticipate that our general and administrative expenses in future periods will be contingent upon our regulatory pathway with the FDA. If we are able to file an NDA with the FDA under an accelerated approval pathway, we anticipate our general and administrative expenses would increase in future periods to support increases in our drug development activities and as we build our commercial capabilities in advance of receiving regulatory approval. This potential increase will likely include increased headcount, increased stock-based compensation expenses, expanded infrastructure including certain sales and marketing activities performed ahead of regulatory approval, and increased insurance expenses. If we are unable to file an NDA with the FDA under an accelerated approval pathway, or if our NDA is not approved, we would need to continue investing in clinical research activities and we anticipate our general and administrative expenses would decrease in future periods as we decrease commercial manufacturing expansion projects, including at our Elkton, Maryland facility, and as we implement cost-saving initiatives, such as a reduction in compensation, a hiring freeze, and elimination of certain staff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Total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other income (expense), net, consists primarily of (i) interest income and interest expense, (ii) changes in the fair value of our common stock warrant liabilities and derivative liabilities, (iii) research and development tax credits, unrestricted grants, and conditional grants for which applicable conditions have been met, (iv) issuance costs for common stock warrant liabilities, and (v) losses on initial issuances of equity if the fair value exceeds the proceeds from public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results of operations for the three and six months ended June 30, 2026 and 2025 were as follows:</w:t>
      </w:r>
    </w:p>
    <w:p>
      <w:pPr>
        <w:pStyle w:val="TextBody"/>
        <w:bidi w:val="0"/>
        <w:spacing w:before="0" w:after="0"/>
        <w:ind w:left="0" w:right="0" w:firstLine="50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735"/>
        <w:gridCol w:w="60"/>
        <w:gridCol w:w="125"/>
        <w:gridCol w:w="650"/>
        <w:gridCol w:w="80"/>
        <w:gridCol w:w="60"/>
        <w:gridCol w:w="125"/>
        <w:gridCol w:w="545"/>
        <w:gridCol w:w="80"/>
        <w:gridCol w:w="60"/>
        <w:gridCol w:w="63"/>
        <w:gridCol w:w="512"/>
        <w:gridCol w:w="245"/>
        <w:gridCol w:w="60"/>
        <w:gridCol w:w="125"/>
        <w:gridCol w:w="650"/>
        <w:gridCol w:w="80"/>
        <w:gridCol w:w="60"/>
        <w:gridCol w:w="125"/>
        <w:gridCol w:w="590"/>
        <w:gridCol w:w="80"/>
        <w:gridCol w:w="60"/>
        <w:gridCol w:w="87"/>
        <w:gridCol w:w="488"/>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Product revenue relates to our dietary supplement products and consists of (i) sales of an aqueous zinc-silver ion dietary (mineral) supplement sold by our wholly-owned subsidiary, dOrbital, Inc., under the trade name “rMetx™ ZnAg Immune Boost,” or under a supply agreement with 4Life under the trade name “Zinc Factor™,” and (ii) sales of KHC46, an aqueous gold dietary (mineral) supplement of very low-concentration, sold under a supply agreement with 4Life under the trade name “Gold Factor™.” Royalty revenue relates to our dietary supplement products and consists of proceeds under an exclusive and royalty-bearing license agreement with 4Life relating to the sale of Gold Factor. During the three and six months ended June 30, 2026 and 2025, changes in product and royalty revenue was due to the timing of purchases and sales of Zinc Factor and Gold Factor by 4Life under the supply and license agreements.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Cost of revenue related to production and distribution costs for the sales of Gold Factor, Zinc Factor, and rMetx dietary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during the three and six months ended June 30, 2026 and 2025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4"/>
        <w:gridCol w:w="60"/>
        <w:gridCol w:w="134"/>
        <w:gridCol w:w="585"/>
        <w:gridCol w:w="85"/>
        <w:gridCol w:w="63"/>
        <w:gridCol w:w="134"/>
        <w:gridCol w:w="585"/>
        <w:gridCol w:w="85"/>
        <w:gridCol w:w="63"/>
        <w:gridCol w:w="87"/>
        <w:gridCol w:w="488"/>
        <w:gridCol w:w="240"/>
        <w:gridCol w:w="60"/>
        <w:gridCol w:w="125"/>
        <w:gridCol w:w="545"/>
        <w:gridCol w:w="80"/>
        <w:gridCol w:w="60"/>
        <w:gridCol w:w="125"/>
        <w:gridCol w:w="545"/>
        <w:gridCol w:w="80"/>
        <w:gridCol w:w="60"/>
        <w:gridCol w:w="87"/>
        <w:gridCol w:w="488"/>
        <w:gridCol w:w="247"/>
      </w:tblGrid>
      <w:tr>
        <w:trPr/>
        <w:tc>
          <w:tcPr>
            <w:tcW w:w="50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247" w:type="dxa"/>
            <w:tcBorders/>
            <w:shd w:fill="FFFFFF" w:val="clear"/>
            <w:vAlign w:val="center"/>
          </w:tcPr>
          <w:p>
            <w:pPr>
              <w:pStyle w:val="TableContents"/>
              <w:bidi w:val="0"/>
              <w:spacing w:before="0" w:after="283"/>
              <w:jc w:val="left"/>
              <w:rPr/>
            </w:pPr>
            <w:r>
              <w:rPr/>
              <w:t> </w:t>
            </w:r>
          </w:p>
        </w:tc>
      </w:tr>
      <w:tr>
        <w:trPr/>
        <w:tc>
          <w:tcPr>
            <w:tcW w:w="509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7" w:type="dxa"/>
            <w:tcBorders/>
            <w:shd w:fill="FFFFFF" w:val="clear"/>
            <w:vAlign w:val="center"/>
          </w:tcPr>
          <w:p>
            <w:pPr>
              <w:pStyle w:val="TableContents"/>
              <w:bidi w:val="0"/>
              <w:spacing w:before="0" w:after="283"/>
              <w:jc w:val="left"/>
              <w:rPr/>
            </w:pPr>
            <w:r>
              <w:rPr/>
              <w:t> </w:t>
            </w:r>
          </w:p>
        </w:tc>
      </w:tr>
      <w:tr>
        <w:trPr/>
        <w:tc>
          <w:tcPr>
            <w:tcW w:w="509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CNM-Au8:</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Amyotrophic lateral sclerosis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Multiple sclerosis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activities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General/preclinical/nonclinical</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technology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 as a reduction of research and development expense</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330" w:type="dxa"/>
        <w:jc w:val="left"/>
        <w:tblInd w:w="0" w:type="dxa"/>
        <w:tblLayout w:type="fixed"/>
        <w:tblCellMar>
          <w:top w:w="0" w:type="dxa"/>
          <w:left w:w="0" w:type="dxa"/>
          <w:bottom w:w="0" w:type="dxa"/>
          <w:right w:w="0" w:type="dxa"/>
        </w:tblCellMar>
      </w:tblPr>
      <w:tblGrid>
        <w:gridCol w:w="60"/>
        <w:gridCol w:w="110"/>
        <w:gridCol w:w="11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 meaningful.</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research and development expenses was primarily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9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expenses related to our lead drug candidate, CNM-Au8, primarily due to (A) a decrease in expenses related to our ALS clinical programs, including a decrease in expenses related to our two ongoing expanded access programs (“EAPs”) with Massachusetts General Hospital and our ongoing National Institutes of Health-sponsored compassionate-use EAP (the “ACT-EAP”) and a decrease in expenses for planning activities for our RESTORE-ALS clinical trial; (B) a decrease in expenses related to our MS clinical programs primarily due to a decrease in expenses for our REPAIR-MS clinical trial due to conclusion of the second cohort, partially offset by an increase in expenses for our ongoing MS EAP, (C) an increase in expenses for regulatory activities primarily driven by higher expenses related to our ongoing FDA discussions and NDA submission-related activities, and (D) an increase in pre-clinical, non-clinical, and other general CNM-Au8-related expenses;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increase in unallocated expenses during the three months ended June 30, 2026, primarily due to (A) an increase in manufacturing expenses primarily due to use of gold lots purchased at higher commodity prices to manufacture CNM-Au8, and (B) an increase in equipment-related expenses, partially offset by (C) a decrease in other miscellaneous expenses;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6"/>
        <w:gridCol w:w="9869"/>
      </w:tblGrid>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8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unallocated expenses during the six months ended June 30, 2026, primarily due to (A) an offset to manufacturing expense due to reprocessing multiple gold lots by our supplier when the commodity price of gold increased compared to the original purchase prices, and (B) a decrease in other miscellaneous expenses, partially offset by (C) an increase in equipment-related expenses;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59"/>
        <w:gridCol w:w="9886"/>
      </w:tblGrid>
      <w:tr>
        <w:trPr/>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(iv)</w:t>
            </w:r>
          </w:p>
        </w:tc>
        <w:tc>
          <w:tcPr>
            <w:tcW w:w="98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increase in personnel expenses during the three months ended June 30, 2026, primarily due to higher expenses related to the ACT-EAP and our regulatory and NDA submission-related activities; and a decrease in personnel expenses during the six months ended June 30, 2026, primarily due to cost-saving initiatives, partially offset by higher expenses related to the ACT-EAP and our regulatory and NDA submission-related activities;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w:t>
            </w:r>
          </w:p>
        </w:tc>
        <w:tc>
          <w:tcPr>
            <w:tcW w:w="99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stock-based compensation expense, primarily due to the timing of award grants, vesting, and forfeitures for research and development personnel;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w:t>
            </w:r>
          </w:p>
        </w:tc>
        <w:tc>
          <w:tcPr>
            <w:tcW w:w="98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grant revenue, which is recorded as a reduction to research and development expense, due to a decrease in overall reimbursable research and development expenses in the ACT-EAP.</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during the three and six months ended June 30, 2026 and 2025 were as follows: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2"/>
        <w:gridCol w:w="60"/>
        <w:gridCol w:w="145"/>
        <w:gridCol w:w="564"/>
        <w:gridCol w:w="92"/>
        <w:gridCol w:w="69"/>
        <w:gridCol w:w="145"/>
        <w:gridCol w:w="564"/>
        <w:gridCol w:w="92"/>
        <w:gridCol w:w="69"/>
        <w:gridCol w:w="98"/>
        <w:gridCol w:w="477"/>
        <w:gridCol w:w="240"/>
        <w:gridCol w:w="60"/>
        <w:gridCol w:w="133"/>
        <w:gridCol w:w="517"/>
        <w:gridCol w:w="84"/>
        <w:gridCol w:w="63"/>
        <w:gridCol w:w="133"/>
        <w:gridCol w:w="517"/>
        <w:gridCol w:w="84"/>
        <w:gridCol w:w="63"/>
        <w:gridCol w:w="98"/>
        <w:gridCol w:w="477"/>
        <w:gridCol w:w="249"/>
      </w:tblGrid>
      <w:tr>
        <w:trPr/>
        <w:tc>
          <w:tcPr>
            <w:tcW w:w="5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249" w:type="dxa"/>
            <w:tcBorders/>
            <w:shd w:fill="FFFFFF" w:val="clear"/>
            <w:vAlign w:val="center"/>
          </w:tcPr>
          <w:p>
            <w:pPr>
              <w:pStyle w:val="TableContents"/>
              <w:bidi w:val="0"/>
              <w:spacing w:before="0" w:after="283"/>
              <w:jc w:val="left"/>
              <w:rPr/>
            </w:pPr>
            <w:r>
              <w:rPr/>
              <w:t> </w:t>
            </w:r>
          </w:p>
        </w:tc>
      </w:tr>
      <w:tr>
        <w:trPr/>
        <w:tc>
          <w:tcPr>
            <w:tcW w:w="51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9" w:type="dxa"/>
            <w:tcBorders/>
            <w:shd w:fill="FFFFFF" w:val="clear"/>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accounting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and investor relations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technology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 as a reduction of general and administrative expense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1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general and administrative expenses was primarily due to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3"/>
        <w:gridCol w:w="9972"/>
      </w:tblGrid>
      <w:tr>
        <w:trPr/>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insurance expenses, primarily due to a decrease in fees for clinical trial, product liability, property, and casualty insurance, partially offset by an increase in fees for directors’ and officers’ insurance;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9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legal fees, primarily due to a decrease in legal fees related to intellectual property, public company compliance, financing and fundraising, and other general corporate legal fees;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04"/>
        <w:gridCol w:w="9841"/>
      </w:tblGrid>
      <w:tr>
        <w:trPr/>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finance and accounting expenses, primarily due to a decrease in audit and tax fees and fees for consultants, advisors, and other financial vendors;</w:t>
            </w:r>
          </w:p>
        </w:tc>
      </w:tr>
    </w:tbl>
    <w:p>
      <w:pPr>
        <w:pStyle w:val="TextBody"/>
        <w:bidi w:val="0"/>
        <w:spacing w:before="0" w:after="0"/>
        <w:ind w:left="0" w:right="0" w:hanging="0"/>
        <w:jc w:val="left"/>
        <w:rPr/>
      </w:pPr>
      <w:r>
        <w:rPr/>
        <w:t> </w:t>
      </w:r>
    </w:p>
    <w:tbl>
      <w:tblPr>
        <w:tblW w:w="5890" w:type="dxa"/>
        <w:jc w:val="left"/>
        <w:tblInd w:w="0" w:type="dxa"/>
        <w:tblLayout w:type="fixed"/>
        <w:tblCellMar>
          <w:top w:w="0" w:type="dxa"/>
          <w:left w:w="0" w:type="dxa"/>
          <w:bottom w:w="0" w:type="dxa"/>
          <w:right w:w="0" w:type="dxa"/>
        </w:tblCellMar>
      </w:tblPr>
      <w:tblGrid>
        <w:gridCol w:w="60"/>
        <w:gridCol w:w="305"/>
        <w:gridCol w:w="552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(iv)</w:t>
            </w:r>
          </w:p>
        </w:tc>
        <w:tc>
          <w:tcPr>
            <w:tcW w:w="5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fees related to our public and investor relations efforts;</w:t>
            </w:r>
          </w:p>
        </w:tc>
      </w:tr>
    </w:tbl>
    <w:p>
      <w:pPr>
        <w:pStyle w:val="TextBody"/>
        <w:bidi w:val="0"/>
        <w:spacing w:before="0" w:after="0"/>
        <w:ind w:left="0" w:right="0" w:hanging="0"/>
        <w:jc w:val="left"/>
        <w:rPr/>
      </w:pPr>
      <w:r>
        <w:rPr/>
        <w:t> </w:t>
      </w:r>
    </w:p>
    <w:tbl>
      <w:tblPr>
        <w:tblW w:w="8185" w:type="dxa"/>
        <w:jc w:val="left"/>
        <w:tblInd w:w="0" w:type="dxa"/>
        <w:tblLayout w:type="fixed"/>
        <w:tblCellMar>
          <w:top w:w="0" w:type="dxa"/>
          <w:left w:w="0" w:type="dxa"/>
          <w:bottom w:w="0" w:type="dxa"/>
          <w:right w:w="0" w:type="dxa"/>
        </w:tblCellMar>
      </w:tblPr>
      <w:tblGrid>
        <w:gridCol w:w="60"/>
        <w:gridCol w:w="245"/>
        <w:gridCol w:w="78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w:t>
            </w:r>
          </w:p>
        </w:tc>
        <w:tc>
          <w:tcPr>
            <w:tcW w:w="7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depreciation expense due to certain assets reaching the end of their depreciable life;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w:t>
            </w:r>
          </w:p>
        </w:tc>
        <w:tc>
          <w:tcPr>
            <w:tcW w:w="9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information technology-related expenses, primarily due to a decrease in expenses related to maintenance, subscriptions, managed services, and security;</w:t>
            </w:r>
          </w:p>
        </w:tc>
      </w:tr>
    </w:tbl>
    <w:p>
      <w:pPr>
        <w:pStyle w:val="TextBody"/>
        <w:bidi w:val="0"/>
        <w:spacing w:before="0" w:after="0"/>
        <w:ind w:left="0" w:right="0" w:hanging="0"/>
        <w:jc w:val="left"/>
        <w:rPr/>
      </w:pPr>
      <w:r>
        <w:rPr/>
        <w:t> </w:t>
      </w:r>
    </w:p>
    <w:tbl>
      <w:tblPr>
        <w:tblW w:w="6400" w:type="dxa"/>
        <w:jc w:val="left"/>
        <w:tblInd w:w="0" w:type="dxa"/>
        <w:tblLayout w:type="fixed"/>
        <w:tblCellMar>
          <w:top w:w="0" w:type="dxa"/>
          <w:left w:w="0" w:type="dxa"/>
          <w:bottom w:w="0" w:type="dxa"/>
          <w:right w:w="0" w:type="dxa"/>
        </w:tblCellMar>
      </w:tblPr>
      <w:tblGrid>
        <w:gridCol w:w="60"/>
        <w:gridCol w:w="365"/>
        <w:gridCol w:w="597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(vii)</w:t>
            </w:r>
          </w:p>
        </w:tc>
        <w:tc>
          <w:tcPr>
            <w:tcW w:w="5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personnel expenses, primarily due to cost-saving initiatives;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09"/>
        <w:gridCol w:w="9736"/>
      </w:tblGrid>
      <w:tr>
        <w:trPr/>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(viii)</w:t>
            </w:r>
          </w:p>
        </w:tc>
        <w:tc>
          <w:tcPr>
            <w:tcW w:w="97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stock-based compensation expense, primarily due to the timing of award grants, vesting, and forfeitures for general and administrative personnel;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(ix)</w:t>
            </w:r>
          </w:p>
        </w:tc>
        <w:tc>
          <w:tcPr>
            <w:tcW w:w="9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increase in grant revenue, which is recorded as a reduction to general and administrative expense, due to an increase in reimbursable general and administrative expenses in the ACT-EAP; and</w:t>
            </w:r>
          </w:p>
        </w:tc>
      </w:tr>
    </w:tbl>
    <w:p>
      <w:pPr>
        <w:pStyle w:val="TextBody"/>
        <w:bidi w:val="0"/>
        <w:spacing w:before="0" w:after="0"/>
        <w:ind w:left="0" w:right="0" w:hanging="0"/>
        <w:jc w:val="left"/>
        <w:rPr/>
      </w:pPr>
      <w:r>
        <w:rPr/>
        <w:t> </w:t>
      </w:r>
    </w:p>
    <w:tbl>
      <w:tblPr>
        <w:tblW w:w="7840" w:type="dxa"/>
        <w:jc w:val="left"/>
        <w:tblInd w:w="0" w:type="dxa"/>
        <w:tblLayout w:type="fixed"/>
        <w:tblCellMar>
          <w:top w:w="0" w:type="dxa"/>
          <w:left w:w="0" w:type="dxa"/>
          <w:bottom w:w="0" w:type="dxa"/>
          <w:right w:w="0" w:type="dxa"/>
        </w:tblCellMar>
      </w:tblPr>
      <w:tblGrid>
        <w:gridCol w:w="60"/>
        <w:gridCol w:w="245"/>
        <w:gridCol w:w="75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t>
            </w:r>
          </w:p>
        </w:tc>
        <w:tc>
          <w:tcPr>
            <w:tcW w:w="75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other expenses related to lobbying activities and other miscellaneous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Total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other income (expense), net, during the three and six months ended June 30, 2026 and 2025 was as follows: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2"/>
        <w:gridCol w:w="60"/>
        <w:gridCol w:w="134"/>
        <w:gridCol w:w="588"/>
        <w:gridCol w:w="85"/>
        <w:gridCol w:w="63"/>
        <w:gridCol w:w="134"/>
        <w:gridCol w:w="588"/>
        <w:gridCol w:w="85"/>
        <w:gridCol w:w="63"/>
        <w:gridCol w:w="87"/>
        <w:gridCol w:w="488"/>
        <w:gridCol w:w="244"/>
        <w:gridCol w:w="60"/>
        <w:gridCol w:w="125"/>
        <w:gridCol w:w="650"/>
        <w:gridCol w:w="80"/>
        <w:gridCol w:w="60"/>
        <w:gridCol w:w="125"/>
        <w:gridCol w:w="545"/>
        <w:gridCol w:w="80"/>
        <w:gridCol w:w="60"/>
        <w:gridCol w:w="98"/>
        <w:gridCol w:w="477"/>
        <w:gridCol w:w="254"/>
      </w:tblGrid>
      <w:tr>
        <w:trPr/>
        <w:tc>
          <w:tcPr>
            <w:tcW w:w="4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254" w:type="dxa"/>
            <w:tcBorders/>
            <w:shd w:fill="FFFFFF" w:val="clear"/>
            <w:vAlign w:val="center"/>
          </w:tcPr>
          <w:p>
            <w:pPr>
              <w:pStyle w:val="TableContents"/>
              <w:bidi w:val="0"/>
              <w:spacing w:before="0" w:after="283"/>
              <w:jc w:val="left"/>
              <w:rPr/>
            </w:pPr>
            <w:r>
              <w:rPr/>
              <w:t> </w:t>
            </w:r>
          </w:p>
        </w:tc>
      </w:tr>
      <w:tr>
        <w:trPr/>
        <w:tc>
          <w:tcPr>
            <w:tcW w:w="497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54" w:type="dxa"/>
            <w:tcBorders/>
            <w:shd w:fill="FFFFFF" w:val="clear"/>
            <w:vAlign w:val="center"/>
          </w:tcPr>
          <w:p>
            <w:pPr>
              <w:pStyle w:val="TableContents"/>
              <w:bidi w:val="0"/>
              <w:spacing w:before="0" w:after="283"/>
              <w:jc w:val="left"/>
              <w:rPr/>
            </w:pPr>
            <w:r>
              <w:rPr/>
              <w:t> </w:t>
            </w:r>
          </w:p>
        </w:tc>
      </w:tr>
      <w:tr>
        <w:trPr/>
        <w:tc>
          <w:tcPr>
            <w:tcW w:w="497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 for common stock warrant liabilities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jc w:val="left"/>
              <w:rPr/>
            </w:pPr>
            <w:r>
              <w:rPr/>
              <w:t> </w:t>
            </w:r>
          </w:p>
        </w:tc>
      </w:tr>
      <w:tr>
        <w:trPr/>
        <w:tc>
          <w:tcPr>
            <w:tcW w:w="497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initial issuance of equity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jc w:val="left"/>
              <w:rPr/>
            </w:pPr>
            <w:r>
              <w:rPr/>
              <w:t> </w:t>
            </w:r>
          </w:p>
        </w:tc>
      </w:tr>
      <w:tr>
        <w:trPr/>
        <w:tc>
          <w:tcPr>
            <w:tcW w:w="497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common stock warrant liabilities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jc w:val="left"/>
              <w:rPr/>
            </w:pPr>
            <w:r>
              <w:rPr/>
              <w:t> </w:t>
            </w:r>
          </w:p>
        </w:tc>
      </w:tr>
      <w:tr>
        <w:trPr/>
        <w:tc>
          <w:tcPr>
            <w:tcW w:w="497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jc w:val="left"/>
              <w:rPr/>
            </w:pPr>
            <w:r>
              <w:rPr/>
              <w:t> </w:t>
            </w:r>
          </w:p>
        </w:tc>
      </w:tr>
      <w:tr>
        <w:trPr/>
        <w:tc>
          <w:tcPr>
            <w:tcW w:w="497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tax credits and unrestricted grants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330" w:type="dxa"/>
        <w:jc w:val="left"/>
        <w:tblInd w:w="0" w:type="dxa"/>
        <w:tblLayout w:type="fixed"/>
        <w:tblCellMar>
          <w:top w:w="0" w:type="dxa"/>
          <w:left w:w="0" w:type="dxa"/>
          <w:bottom w:w="0" w:type="dxa"/>
          <w:right w:w="0" w:type="dxa"/>
        </w:tblCellMar>
      </w:tblPr>
      <w:tblGrid>
        <w:gridCol w:w="60"/>
        <w:gridCol w:w="110"/>
        <w:gridCol w:w="11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 meaningful.</w:t>
            </w:r>
          </w:p>
        </w:tc>
      </w:tr>
    </w:tbl>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total other income (expense), net, was primarily due to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interest income primarily due to lower average balances of cash and cash equivalents and lower interest rates in 2026;</w:t>
            </w:r>
          </w:p>
        </w:tc>
      </w:tr>
    </w:tbl>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60"/>
        <w:gridCol w:w="260"/>
        <w:gridCol w:w="965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6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increase in interest expense primarily due to the senior secured convertible promissory notes issued in August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16"/>
        <w:gridCol w:w="9829"/>
      </w:tblGrid>
      <w:tr>
        <w:trPr/>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9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from a public equity offering allocated to liability-classified warrants during the six months ended June 30,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9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loss on initial issuance of equity from the fair value in excess of proceeds from a public equity offering during the six months ended June 30,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w:t>
            </w:r>
          </w:p>
        </w:tc>
        <w:tc>
          <w:tcPr>
            <w:tcW w:w="99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loss from the changes in fair value of common stock warrant liabilities during the three and six months ended June 30, 2026 and three months ended June 30, 2025, and a gain during the six months ended June 30, 2025. The changes in fair value were due to changes in price of our common stock and updates in valuation model assumptions (see “</w:t>
            </w:r>
            <w:r>
              <w:rPr>
                <w:rFonts w:ascii="Times New Roman;Times;serif" w:hAnsi="Times New Roman;Times;serif"/>
                <w:i/>
                <w:sz w:val="20"/>
              </w:rPr>
              <w:t>Critical Accounting Estimates</w:t>
            </w: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60"/>
        <w:gridCol w:w="988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(vi)</w:t>
            </w:r>
          </w:p>
        </w:tc>
        <w:tc>
          <w:tcPr>
            <w:tcW w:w="98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loss from the change in fair value of the derivative liabilities separated from our senior secured convertible promissory notes during the three and six months ended June 30, 2026 and three months ended June 30, 2025, and a gain during the six months ended June 30, 2025. The changes in fair value were due to changes in price of our common stock and updates in valuation model assumptions (see “</w:t>
            </w:r>
            <w:r>
              <w:rPr>
                <w:rFonts w:ascii="Times New Roman;Times;serif" w:hAnsi="Times New Roman;Times;serif"/>
                <w:i/>
                <w:sz w:val="20"/>
              </w:rPr>
              <w:t>Critical Accounting Estimates</w:t>
            </w: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29"/>
        <w:gridCol w:w="9816"/>
      </w:tblGrid>
      <w:tr>
        <w:trPr/>
        <w:tc>
          <w:tcPr>
            <w:tcW w:w="6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(vii)</w:t>
            </w:r>
          </w:p>
        </w:tc>
        <w:tc>
          <w:tcPr>
            <w:tcW w:w="98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 in research and development tax credits and unrestricted grants during the six months ended June 30, 2026, due to the receipt of Maryland tax credits during the six months ended June 30, 2025, that were not received during the six months ended June 30, 2026.</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incorporated in the state of Delaware and subject to statutory U.S. federal corporate income tax at a rate of 21.00%. We are also subject to state income tax in Maryland at a rate of 8.25%, and in Utah at a rate of 4.50%. As of June 30, 2026 and December 31, 2025, we recorded a full valuation allowance against our net deferred tax assets due to the uncertainty as to whether such assets will be realized resulting from our three-year cumulative loss position and the uncertainty surrounding our ability to generate pre-tax income in the foreseeable future.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wholly-owned subsidiary, Clene Australia Pty Ltd (“Clene Australia”), was established in Australia in March 2018 and is subject to corporate income tax at a rate of 30.00%. Clene Australia had no taxable income or provision for income taxes for the six months ended June 30, 2026 and 2025. We recorded other income of $64,000 and $40,000 for the six months ended June 30, 2026 and 2025, respectively, for research and development tax credits pertaining to Clene Australia for the 2026 and 2025 tax years,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wholly-owned subsidiary, Clene Netherlands B.V. (“Clene Netherlands”), was established in the Netherlands in April 2021 and is subject to corporate income tax at a rate of 19.00% up to €200,000 of taxable income and 25.80% for taxable income in excess of €200,000 for the six months ended June 30, 2026 and 2025. Clene Netherlands had no taxable income or provision for income taxes for the six months ended June 30, 2026 and 2025.</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Sources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expect to incur additional losses in the future to fund our operations and conduct research and development of our drug candidates. We recognize the need to raise additional capital to fully implement our business plan. The long-term continuation of our business plan is dependent upon the generation of sufficient revenue from our products to offset expenses and capital expenditures. In the event that we do not generate sufficient revenue and are unable to obtain funding, we will be forced to delay, reduce, or eliminate some or all of our research and development programs, product portfolio expansion, commercialization efforts, or capital expenditures, which could adversely affect our business prospects, ability to meet long-term liquidity needs, or we may be unable to continue operations.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Since our inception, we have dedicated substantially all our resources to the development of our drug candidates. We have financed our operations principally through the following sources: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$209.6 million from equity financing, including sales of common stock, preferred stock, common stock warrants, and pre-funded common stock warrants;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$71.1 million from borrowings under notes payable, convertible notes payable, and convertible promissory notes;</w:t>
            </w:r>
          </w:p>
        </w:tc>
      </w:tr>
    </w:tbl>
    <w:p>
      <w:pPr>
        <w:pStyle w:val="TextBody"/>
        <w:bidi w:val="0"/>
        <w:spacing w:before="0" w:after="0"/>
        <w:ind w:left="0" w:right="0" w:hanging="0"/>
        <w:jc w:val="left"/>
        <w:rPr/>
      </w:pPr>
      <w:r>
        <w:rPr/>
        <w:t> </w:t>
      </w:r>
    </w:p>
    <w:tbl>
      <w:tblPr>
        <w:tblW w:w="8590" w:type="dxa"/>
        <w:jc w:val="left"/>
        <w:tblInd w:w="0" w:type="dxa"/>
        <w:tblLayout w:type="fixed"/>
        <w:tblCellMar>
          <w:top w:w="0" w:type="dxa"/>
          <w:left w:w="0" w:type="dxa"/>
          <w:bottom w:w="0" w:type="dxa"/>
          <w:right w:w="0" w:type="dxa"/>
        </w:tblCellMar>
      </w:tblPr>
      <w:tblGrid>
        <w:gridCol w:w="60"/>
        <w:gridCol w:w="170"/>
        <w:gridCol w:w="8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$9.4 million from our reverse recapitalization whereby we became a public company;</w:t>
            </w:r>
          </w:p>
        </w:tc>
      </w:tr>
    </w:tbl>
    <w:p>
      <w:pPr>
        <w:pStyle w:val="TextBody"/>
        <w:bidi w:val="0"/>
        <w:spacing w:before="0" w:after="0"/>
        <w:ind w:left="0" w:right="0" w:hanging="0"/>
        <w:jc w:val="left"/>
        <w:rPr/>
      </w:pPr>
      <w:r>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$10.2 million from refundable research and development tax credits;</w:t>
            </w:r>
          </w:p>
        </w:tc>
      </w:tr>
    </w:tbl>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$20.0 million from grants from various organizations; and</w:t>
            </w:r>
          </w:p>
        </w:tc>
      </w:tr>
    </w:tbl>
    <w:p>
      <w:pPr>
        <w:pStyle w:val="TextBody"/>
        <w:bidi w:val="0"/>
        <w:spacing w:before="0" w:after="0"/>
        <w:ind w:left="0" w:right="0" w:hanging="0"/>
        <w:jc w:val="left"/>
        <w:rPr/>
      </w:pPr>
      <w:r>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proceeds of $1.1 million from stock option and warrant exercises.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also received indirect financial support for the HEALEY ALS Platform Trial, administered by Massachusetts General Hospital, which conducted an ALS platform trial of CNM-Au8 alongside multiple other drug candidates, at significantly lower costs than we would have otherwise incurred if we had conducted a comparably designed clinical trial at reasonable market rates.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incurred a loss from operations of $5.3 million and $5.9 million for the three months ended June 30, 2026 and 2025, respectively; and $7.4 million and $9.9 million for the six months ended June 30, 2026 and 2025, respectively. Our accumulated deficit was $329.8 million and $308.3 million as of June 30, 2026 and December 31, 2025, respectively. Our cash and cash equivalents totaled $9.7 million and $5.2 million as of June 30, 2026 and December 31, 2025, respectively, and net cash used in operating activities was $7.1 million and $9.8 million for the six months ended June 30, 2026 and 2025,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have not generated significant revenue since our inception, and we do not anticipate generating significant revenue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(see Note 8 to the condensed consolidated financial statements). These conditions raise substantial doubt about the Company’s ability to continue as a going concern.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three and six months ended June 30, 2026, we raised $7.0 million and $13.0 million, respectively, of gross proceeds from registered direct offerings of equity securities (see Note 13 to the condensed consolidated financial statements).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condensed consolidated financial statements contained in this report are issued.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have been prepared assuming we will continue as a going concern, which contemplates the realization of assets and satisfaction of liabilities in the normal course of business. As a result, the accompanying condensed consolidated financial statements do not include any adjustments relating to the recoverability and classification of assets and their carrying amounts, or the amounts and classification of liabilities that may result should we be unable to continue as a going concern.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Short-Term 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at least the next twelve months, our primary capital requirements are to fund our operations, including research and development, personnel, regulatory, and other clinical trial costs related to development of our lead drug candidate, CNM-Au8; general and administrative costs to support our drug development and pre-commercial activities in advance of receiving regulatory approval for our drug candidates; and principal and interest payments on our notes payable and convertible notes payable. Firm commitments for funds include approximately $1.1 million of payments under operating lease obligations, payment of principal and interest on notes payable and convertible notes payable totaling $0.7 million, and a commitment for capital expenditures totaling $1.6 million related to the construction of our manufacturing facilities. We expect to meet our short-term liquidity requirements primarily through cash on hand. Additional sources of funds include equity financing, debt financing, or other capital sources. However, there can be no assurance that we will be able to secure such financing on favorable terms, or at all.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not deemed significant.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Long-Term 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Beyond the next twelve months, our primary capital requirements are to fund our operations, including research and development, personnel, regulatory, and other clinical trial costs related to development of our lead drug candidate, CNM-Au8; general and administrative costs to support our drug development activities in advance of receiving regulatory approval for our drug candidates; and principal and interest payments on our notes payable and convertible notes payable. Additional funds may be spent to initiate new clinical trials, at our discretion. Known obligations beyond the next twelve months include $3.4 million of payments under operating lease obligations, and interest and principal repayment of notes payable and convertible notes payable of $21.2 million. We expect to meet our long-term liquidity requirements primarily through equity financing, debt financing, or other capital sources. However, there can be no assurance that we will be able to secure such financing on favorable terms, or at all.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cash flows for the six months ended June 30,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7587" w:type="dxa"/>
        <w:jc w:val="left"/>
        <w:tblInd w:w="0" w:type="dxa"/>
        <w:tblLayout w:type="fixed"/>
        <w:tblCellMar>
          <w:top w:w="0" w:type="dxa"/>
          <w:left w:w="0" w:type="dxa"/>
          <w:bottom w:w="0" w:type="dxa"/>
          <w:right w:w="0" w:type="dxa"/>
        </w:tblCellMar>
      </w:tblPr>
      <w:tblGrid>
        <w:gridCol w:w="5465"/>
        <w:gridCol w:w="60"/>
        <w:gridCol w:w="162"/>
        <w:gridCol w:w="767"/>
        <w:gridCol w:w="104"/>
        <w:gridCol w:w="78"/>
        <w:gridCol w:w="162"/>
        <w:gridCol w:w="709"/>
        <w:gridCol w:w="80"/>
      </w:tblGrid>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4,806</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foreign exchange rate changes on cash</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primary use of cash in all periods presented was to fund our research and development, regulatory and other clinical trial costs, and general corporate expenditures.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$7.1 million for the six months ended June 30, 2026, which resulted from a net loss of $21.5 million, adjusted for non-cash items totaling $17.5 million and a net change in operating assets and liabilities of $3.1 million. Significant non-cash items included: (i) depreciation expense of $0.7 million related to laboratory and office equipment and leasehold improvements, (ii) non-cash lease expense of $0.3 million, (iii) stock-based compensation expense of $2.4 million, (iv) accretion of debt discount of $0.5 million, (v) non-cash interest expense on notes payable of $0.8 million, (vi) issuance costs for common stock warrant liabilities of $0.4 million, (vii) a loss on initial issuance of equity from the fair value in excess of proceeds from a public equity offering of $4.6 million, (viii) a change in fair value of our common stock warrant liabilities of $5.2 million due to changes in the price of our common stock and changes in valuation model inputs, and (ix) a change in fair value of our derivative liabilities of $2.6 million due to changes in the price of our common stock and changes in valuation model inputs. The net change in operating assets and liabilities was primarily attributable to: (i) an increase in accounts receivable of $43,000 and an increase in accounts payable of $0.3 million due to the timing of vendor invoicing and payments, (ii) an increase in prepaid expenses and other current assets of $1.4 million due to (A) the timing of vendor invoicing and payments, (B) an increase in metals to be used in research and development due to the timing of invoicing, payments, and deliveries from our supplier, and changes in the commodity price of gold during reprocessing by our supplier compared to the original purchase price, (C) an increase in grants receivable related to ACT-EAP reimbursements, and (D) an increase in prepaid clinical and CRO expenses related to the ACT-EAP, partially offset by (E) a decrease in research and development tax credits receivable due to the timing of refund payments, and (F) a decrease in miscellaneous prepaids and other current assets, (iii) a decrease in accrued liabilities of $1.4 million primarily due to (A) a decrease in accrued compensation and benefits resulting from payments of deferred employee bonuses in cash and equity, (B) a decrease in deferred grants due to satisfaction of grant conditions or performance obligations, and (C) a decrease in other miscellaneous accrued liabilities, partially offset by (D) an increase in accrued CRO and clinical fees related to our ongoing clinical programs, and (iv) a decrease in operating lease obligations of $0.4 million.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$9.8 million for the six months ended June 30, 2025, which resulted from a net loss of $8.2 million, adjusted for non-cash items totaling $2.2 million and a net change in operating assets and liabilities of $3.8 million. Significant non-cash items included: (i) depreciation expense of $0.8 million related to laboratory and office equipment and leasehold improvements, (ii) non-cash lease expense of $0.3 million, (iii) stock-based compensation expense of $3.3 million, (iv) accretion of debt discount of $0.5 million, (v) non-cash interest expense on notes payable of $24,000, (vi) a change in fair value of our common stock warrant liabilities of $2.0 million due to changes in the price of our common stock and changes in valuation model inputs, and (vii) a change in fair value of the our derivative liabilities of $0.7 million due to changes in the price of our common stock and changes in valuation model inputs. The net change in operating assets and liabilities was primarily attributable to: (i) a decrease in accounts receivable of $0.1 million and a decrease in accounts payable of $0.4 million due to the timing of vendor invoicing and payments, (ii) an increase in prepaid expenses and other current assets of $0.8 million due to (A) the timing of vendor invoicing and payments, (B) the timing of receipt of metals to be used in research and development, and (C) an increase in research and development tax credits receivable, partially offset by (D) a decrease in prepaid clinical and CRO expenses related to the ACT-EAP, (iii) a decrease in accrued liabilities of $2.3 million primarily due to (A) a decrease in deferred grants, and (B) a decrease in other miscellaneous accrued liabilities, partially offset by (C) an increase in accrued compensation and benefits, and (iv) a decrease in operating lease obligations of $0.3 million.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for the six months ended June 30, 2026 consisted of purchases of property and equipment of $1,000. We had no net cash provided by or used in investing activities during the six months ended June 30, 2025.</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$11.6 million for the six months ended June 30, 2026, which consisted of proceeds from the issuance of common stock and warrants, net of offering costs, of $11.7 million, partially offset by payments of notes payable of $0.2 million. Net cash provided by financing activities was $4.8 million for the six months ended June 30, 2025, which consisted of proceeds from the issuance of common stock of $5.0 million, partially offset by payments of notes payable of $0.2 million.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Public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January 2026, pursuant to a placement agency agreement with BTIG, LLC (“BTIG”), we sold 928,333 shares of our common stock, warrants to purchase up to 1,114,000 shares of our common stock (the “Series A Warrants”), and warrants to purchase up to 2,599,333 shares of our common stock (the “Series B Warrants”). The aggregate gross proceeds were approximately $6.0 million, of which $0.3 million was contributed by certain of our directors and their affiliated entities, excluding the proceeds, of any, from the exercise of the Series A Warrants and Series B Warrants and before deducting placement agent fees and expenses and other expenses payable by us. We paid BTIG a placement agent fee of 6.00% of the aggregate gross proceeds of the offering. The offering was made pursuant to our registration statement on Form S-3 (file number 333-286058), declared effective on April 25, 2025 (the “2025 S-3”), and a related prospectus supplement.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May 2026, pursuant to an underwriting agreement with Canaccord Genuity LLC, we sold 1,000,000 shares of our common stock at an offering price of $7.00 per share. The aggregate gross proceeds were $7.0 million. We paid underwriting discounts and commissions of $0.5 million and other offering expenses of $0.1 million. The offering was made pursuant to our 2025 S-3 and a prospectus supplement related to the offering.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on our condensed consolidated financial statements, which have been prepared in accordance with U.S. Generally Accepted Accounting Principles. The preparation of these condensed consolidated financial statements requires us to make estimates, assumptions, and judgments that affect the reported amounts of assets, liabilities, revenues, costs, and expenses. We evaluate our estimates and judgments on an ongoing basis, and our actual results may differ from these estimates.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consider the following estimates to be critical as they involve a significant level of estimation uncertainty and have had or are reasonably likely to have a material impact on our financial condition and results of operations.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In accordance with ASU 2020-06, </w:t>
      </w:r>
      <w:r>
        <w:rPr>
          <w:rFonts w:ascii="Times New Roman" w:hAnsi="Times New Roman"/>
          <w:i/>
          <w:caps w:val="false"/>
          <w:smallCaps w:val="false"/>
          <w:sz w:val="20"/>
        </w:rPr>
        <w:t>Debt</w:t>
      </w:r>
      <w:r>
        <w:rPr>
          <w:rFonts w:ascii="Times New Roman" w:hAnsi="Times New Roman"/>
          <w:caps w:val="false"/>
          <w:smallCaps w:val="false"/>
          <w:sz w:val="20"/>
        </w:rPr>
        <w:t>—</w:t>
      </w:r>
      <w:r>
        <w:rPr>
          <w:rFonts w:ascii="Times New Roman" w:hAnsi="Times New Roman"/>
          <w:i/>
          <w:caps w:val="false"/>
          <w:smallCaps w:val="false"/>
          <w:sz w:val="20"/>
        </w:rPr>
        <w:t>Debt with Conversion and Other Options (Subtopic 470-20) and Derivatives and Hedging</w:t>
      </w:r>
      <w:r>
        <w:rPr>
          <w:rFonts w:ascii="Times New Roman" w:hAnsi="Times New Roman"/>
          <w:caps w:val="false"/>
          <w:smallCaps w:val="false"/>
          <w:sz w:val="20"/>
        </w:rPr>
        <w:t>—</w:t>
      </w:r>
      <w:r>
        <w:rPr>
          <w:rFonts w:ascii="Times New Roman" w:hAnsi="Times New Roman"/>
          <w:i/>
          <w:caps w:val="false"/>
          <w:smallCaps w:val="false"/>
          <w:sz w:val="20"/>
        </w:rPr>
        <w:t>Contracts in Entity</w:t>
      </w:r>
      <w:r>
        <w:rPr>
          <w:rFonts w:ascii="Times New Roman" w:hAnsi="Times New Roman"/>
          <w:caps w:val="false"/>
          <w:smallCaps w:val="false"/>
          <w:sz w:val="20"/>
        </w:rPr>
        <w:t>’</w:t>
      </w:r>
      <w:r>
        <w:rPr>
          <w:rFonts w:ascii="Times New Roman" w:hAnsi="Times New Roman"/>
          <w:i/>
          <w:caps w:val="false"/>
          <w:smallCaps w:val="false"/>
          <w:sz w:val="20"/>
        </w:rPr>
        <w:t>s Own Equity (Subtopic 815-40): Accounting for Convertible Instruments and 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we classified the 2022 DHCD Loan as convertible notes payable in the condensed consolidated balance sheets and did not separate the conversion option from the host contract as it did not meet the requirements for accounting as a derivative instrument. We account for the convertible note as a single liability measured at its amortized cost as of June 30, 2026 and December 31, 2025, with a carrying value of $5.3 million and $5.3 million,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classified a portion of the senior secured convertible promissory notes (the “SSCP Notes”) as convertible notes payable in the consolidated balance sheets and separated three features from the host contract as derivative instruments measured at fair value: (i) the conversion option (the “SSCPN Conversion Feature”), (ii) the redemption option upon a change of control or any bankruptcy, liquidation, or other restructuring process consisting of a cash payment equal to 115% of the outstanding principal (the “SSCPN Redemption Feature”), and (iii) the acceleration option plus a penalty equal to 10% of all outstanding principal and accrued and unpaid interest upon the occurrence and continuation of certain events of default (the “SSCPN Default Feature,” collectively with the SSCPN Conversion Feature and SSCPN Redemption Feature, the “SSCPN Derivative Liabilities”). We accounted for the remainder of the SSCP Notes as liabilities measured at their amortized cost, with carrying values of (i) $10.4 million and $9.3 million for the 2024 SSCP Notes as of June 30, 2026 and December 31, 2025, respectively, and (ii) $1.5 million and $1.4 million for the 2025 SSCP Notes as of June 30, 2026 and December 31, 2025,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remeasure the SSCPN Derivative Liabilities at each reporting date and record the change in fair value as a component of other income (expense), net in the condensed consolidated statements of operations and comprehensive loss. The change in fair value of the SSCPN Derivative Liabilities resulted in a loss of $3.3 million and a loss of $0.4 million during the three months ended June 30, 2026 and 2025, respectively; and a loss of $2.6 million and a gain of $0.7 million during the six months ended June 30, 2026 and 2025, respectively. We estimate the fair value of the SSCP Notes with and without the SSCPN Derivative Liabilities and calculate the difference as the implied fair value of the SSCPN Derivative Liabilities. The valuation model consists of a discounted cash flow model and a Black-Scholes option-pricing model with probability weights for the occurrence of (i) a change of control transaction, (ii) default of the Company, or (iii) held to maturity. These estimates require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5"/>
        <w:gridCol w:w="60"/>
        <w:gridCol w:w="60"/>
        <w:gridCol w:w="906"/>
        <w:gridCol w:w="185"/>
        <w:gridCol w:w="60"/>
        <w:gridCol w:w="60"/>
        <w:gridCol w:w="906"/>
        <w:gridCol w:w="185"/>
        <w:gridCol w:w="60"/>
        <w:gridCol w:w="60"/>
        <w:gridCol w:w="1057"/>
        <w:gridCol w:w="185"/>
        <w:gridCol w:w="60"/>
        <w:gridCol w:w="60"/>
        <w:gridCol w:w="906"/>
        <w:gridCol w:w="185"/>
        <w:gridCol w:w="60"/>
        <w:gridCol w:w="60"/>
        <w:gridCol w:w="1057"/>
        <w:gridCol w:w="185"/>
        <w:gridCol w:w="60"/>
        <w:gridCol w:w="60"/>
        <w:gridCol w:w="1065"/>
        <w:gridCol w:w="188"/>
      </w:tblGrid>
      <w:tr>
        <w:trPr/>
        <w:tc>
          <w:tcPr>
            <w:tcW w:w="2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 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8" w:type="dxa"/>
            <w:tcBorders/>
            <w:vAlign w:val="center"/>
          </w:tcPr>
          <w:p>
            <w:pPr>
              <w:pStyle w:val="TableContents"/>
              <w:bidi w:val="0"/>
              <w:spacing w:before="0" w:after="283"/>
              <w:jc w:val="left"/>
              <w:rPr/>
            </w:pPr>
            <w:r>
              <w:rPr/>
              <w:t> </w:t>
            </w:r>
          </w:p>
        </w:tc>
      </w:tr>
      <w:tr>
        <w:trPr/>
        <w:tc>
          <w:tcPr>
            <w:tcW w:w="2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8" w:type="dxa"/>
            <w:tcBorders/>
            <w:vAlign w:val="center"/>
          </w:tcPr>
          <w:p>
            <w:pPr>
              <w:pStyle w:val="TableContents"/>
              <w:bidi w:val="0"/>
              <w:spacing w:before="0" w:after="283"/>
              <w:jc w:val="left"/>
              <w:rPr/>
            </w:pPr>
            <w:r>
              <w:rPr/>
              <w:t> </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 – 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 – 3.80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 – 3.60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 – 1.12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 – 1.24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 – 0.74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 – 1.26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 – 0.76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 – 1.12</w:t>
            </w:r>
          </w:p>
        </w:tc>
        <w:tc>
          <w:tcPr>
            <w:tcW w:w="188" w:type="dxa"/>
            <w:tcBorders/>
            <w:shd w:fill="CCEEFF" w:val="clear"/>
            <w:vAlign w:val="center"/>
          </w:tcPr>
          <w:p>
            <w:pPr>
              <w:pStyle w:val="TableContents"/>
              <w:bidi w:val="0"/>
              <w:spacing w:before="0" w:after="283"/>
              <w:jc w:val="left"/>
              <w:rPr/>
            </w:pPr>
            <w:r>
              <w:rPr/>
              <w:t> </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change of control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default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maturity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16"/>
              </w:rPr>
            </w:pPr>
            <w:r>
              <w:rPr>
                <w:sz w:val="16"/>
              </w:rPr>
              <w:t>(1)</w:t>
            </w:r>
          </w:p>
        </w:tc>
        <w:tc>
          <w:tcPr>
            <w:tcW w:w="992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Represents the unobservable inputs to the valuation of the SSCPN Derivative Liabilities related to the 2025 SSCP Notes immediately following an amendment in May 2026.</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16"/>
              </w:rPr>
            </w:pPr>
            <w:r>
              <w:rPr>
                <w:sz w:val="16"/>
              </w:rPr>
              <w:t>(2)</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Represents the unobservable inputs to the valuation of the SSCPN Derivative Liabilities related to the 2025 SSCP Notes immediately preceding an amendment in May 2026.</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16"/>
              </w:rPr>
            </w:pPr>
            <w:r>
              <w:rPr>
                <w:sz w:val="16"/>
              </w:rPr>
              <w:t>(3)</w:t>
            </w:r>
          </w:p>
        </w:tc>
        <w:tc>
          <w:tcPr>
            <w:tcW w:w="992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Represents the unobservable inputs to the valuation of the SSCPN Derivative Liabilities related to the 2024 SSCP Notes immediately following an amendment in May 2026.</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16"/>
              </w:rPr>
            </w:pPr>
            <w:r>
              <w:rPr>
                <w:sz w:val="16"/>
              </w:rPr>
              <w:t>(4)</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Represents the unobservable inputs to the valuation of the SSCPN Derivative Liabilities related to the 2024 SSCP Notes immediately preceding an amendment in May 2026.</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 Liabilities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accordance with ASC 815, we recognized the below common stock warrants as derivative liabilities measured at fair value and will remeasure them at each reporting date and record the change in fair value as a component of other income (expense), net, in the condensed consolidated statements of operations and comprehensive loss.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a loan with Avenue Venture Opportunities Fund, L.P. (“Avenue”), which we repaid in 2024, we issued a warrant to purchase 150,000 shares of our common stock at $4.6014 per share (the “2023 Avenue Warrant”). The change in fair value of the 2023 Avenue Warrant resulted in a loss of $0.1 million and a loss of $25,000 during the three months ended June 30, 2026 and 2025, respectively; and a loss of $0.1 million and a gain of $0.1 million during the six months ended June 30, 2026 and 2025, respectively. We estimate the fair value using a Black-Scholes option-pricing model with probability weights for the occurrence of (i) settlement of the instrument upon a change of control transaction, (ii) dissolution of the Company, or (iii) held to expiration. These estimates require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2645"/>
        <w:gridCol w:w="60"/>
        <w:gridCol w:w="60"/>
        <w:gridCol w:w="1520"/>
        <w:gridCol w:w="185"/>
        <w:gridCol w:w="60"/>
        <w:gridCol w:w="60"/>
        <w:gridCol w:w="1520"/>
        <w:gridCol w:w="18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107.00% – 115.40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 – 119.00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 – 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 – 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 – 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 – 2.50</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change of control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 w:hAnsi="Times New Roman"/>
          <w:sz w:val="20"/>
        </w:rPr>
      </w:pPr>
      <w:r>
        <w:rPr>
          <w:rFonts w:ascii="Times New Roman" w:hAnsi="Times New Roman"/>
          <w:sz w:val="20"/>
        </w:rPr>
        <w:t>Pursuant to an underwritten public offering in June 2023, we issued warrants to purchase 2,500,000 shares of our common stock at $22.00 per share (the “Tranche A Warrants”). The Tranche A Warrants expired unexercised in June 2026. The change in fair value prior to the expiration of the Tranche A Warrants resulted in a loss of $30,000 during the three months ended June 30, 2025, and a gain of $0.4 million and a gain of $0.6 million during the six months ended June 30, 2026 and 2025, respectively. We estimated the fair value using a Black-Scholes option-pricing model with probability weights for the occurrence of (i) acceptance of an NDA by the FDA for CNM-Au8, (ii) settlement upon a fundamental transaction, (iii) dissolution of the Company, and (iv) held to expiration. These estimates required significant judgment. The unobservable valuation inputs were as follows:</w:t>
      </w:r>
    </w:p>
    <w:p>
      <w:pPr>
        <w:pStyle w:val="TextBody"/>
        <w:bidi w:val="0"/>
        <w:spacing w:before="0" w:after="0"/>
        <w:ind w:left="0" w:right="0" w:firstLine="500"/>
        <w:jc w:val="both"/>
        <w:rPr/>
      </w:pPr>
      <w:r>
        <w:rPr/>
        <w:t> </w:t>
      </w:r>
    </w:p>
    <w:tbl>
      <w:tblPr>
        <w:tblW w:w="6494" w:type="dxa"/>
        <w:jc w:val="left"/>
        <w:tblInd w:w="0" w:type="dxa"/>
        <w:tblLayout w:type="fixed"/>
        <w:tblCellMar>
          <w:top w:w="0" w:type="dxa"/>
          <w:left w:w="0" w:type="dxa"/>
          <w:bottom w:w="0" w:type="dxa"/>
          <w:right w:w="0" w:type="dxa"/>
        </w:tblCellMar>
      </w:tblPr>
      <w:tblGrid>
        <w:gridCol w:w="5240"/>
        <w:gridCol w:w="60"/>
        <w:gridCol w:w="92"/>
        <w:gridCol w:w="917"/>
        <w:gridCol w:w="185"/>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185"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NDA acceptance before warrant expiration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fundamental transaction before warrant expiration</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 before warrant expiration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a registered direct public offering in October 2024, we issued warrants to purchase 1,546,914 shares of our common stock at $4.82 per share (the “2024 Common Warrants”). The change in fair value of the 2024 Common Warrants resulted in a loss of $1.0 million and a loss of $0.5 million during the three months ended June 30, 2026 and 2025, respectively; and a loss of $0.3 million and a gain of $1.3 million during the six months ended June 30, 2026 and 2025, respectively. We estimate the fair value using a Black-Scholes option-pricing model with probability weights for the occurrence of (i) dissolution of the Company and (ii) held to maturity. These estimates require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2645"/>
        <w:gridCol w:w="60"/>
        <w:gridCol w:w="60"/>
        <w:gridCol w:w="590"/>
        <w:gridCol w:w="185"/>
        <w:gridCol w:w="60"/>
        <w:gridCol w:w="92"/>
        <w:gridCol w:w="917"/>
        <w:gridCol w:w="18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dissolution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held to expiration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a registered direct public offering in January 2026, we issued Series A Warrants to purchase 1,114,000 shares of our common stock at $6.00 per share. The exercise price of the Series A Warrants will increase to $7.00 per share if (i) the Series A Warrant is exercised prior to our public announcement of the FDA’s posted action date under the Prescription Drug User Fee Act for our NDA for CNM-Au8 (the “Series A Trigger Announcement”), or (ii) the volume weighted average price (“VWAP”) of our common stock equals or exceeds $10.00 on the Series A Price Measurement Date, as defined below. The “Series A Price Measurement Date” means (A) the trading day on which the Series A Trigger Announcement is made, if such announcement is made prior to 9:00 a.m. (New York City time) on such trading day, or (B) the first trading day immediately following the day on which the Series A Trigger Announcement is made, if such announcement is made at or after 9:01 a.m. (New York City time) on a trading day or on a day that is not a trading day.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fair value of the Series A Warrants resulted in a loss of $0.6 million and a loss of $0.9 million during the three and six months ended June 30, 2026. We estimate the fair value using a Monte Carlo simulation with estimates for (i) the probability of the Series A Trigger Announcement (ii) the expected stock price increase if the Series A Trigger Announcement occurs, and (iii) the expected stock price decrease if the Series A Trigger Announcement does not occur. These estimates require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485"/>
        <w:gridCol w:w="60"/>
        <w:gridCol w:w="60"/>
        <w:gridCol w:w="935"/>
        <w:gridCol w:w="185"/>
        <w:gridCol w:w="60"/>
        <w:gridCol w:w="60"/>
        <w:gridCol w:w="935"/>
        <w:gridCol w:w="185"/>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January 13,</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 – 2.54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 – 3.00</w:t>
            </w:r>
          </w:p>
        </w:tc>
        <w:tc>
          <w:tcPr>
            <w:tcW w:w="18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Series A Trigger Announcement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increase if Series A Trigger Announcement occurs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decrease if Series A Trigger Announcement does not occur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a registered direct public offering in January 2026, we issued Series B Warrants to purchase 2,599,333 shares of our common stock at $6.00 per share. The exercise price of the Series B Warrants will increase to (i) $10.00 per share if the VWAP of our common stock equals or exceeds $20.00 on the Series B Price Measurement Date, or (ii) $12.50 per share if (A) the VWAP of our common stock equals or exceeds $25.00 on the Series B Price Measurement Date, or (B) the Series B Warrant is exercised prior to our public announcement of receipt of written approval from the FDA of our NDA for CNM-Au8 in ALS, which announcement shall be made promptly after receipt of such approval (the “Series B Trigger Announcement”). The “Series B Price Measurement Date” means (A) the trading day on which the Series B Trigger Announcement is made, if such announcement is made prior to 9:00 a.m. (New York City time) on such trading day, or (B) the first trading day immediately following the day on which the Series B Trigger Announcement is made, if such announcement is made at or after 9:01 a.m. (New York City time) on a trading day or on a day that is not a trading day.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fair value of the Series B Warrants resulted in a loss of $2.4 million and a loss of $4.3 million during the three and six months ended June 30, 2026. We estimate the fair value using a Monte Carlo simulation with estimates for (i) the probability of the Series B Announcement (ii) the expected stock price increase if the Series B Trigger Announcement occurs, and (iii) the expected stock price decrease if the Series B Trigger Announcement does not occur. These estimates require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485"/>
        <w:gridCol w:w="60"/>
        <w:gridCol w:w="60"/>
        <w:gridCol w:w="935"/>
        <w:gridCol w:w="185"/>
        <w:gridCol w:w="60"/>
        <w:gridCol w:w="60"/>
        <w:gridCol w:w="935"/>
        <w:gridCol w:w="185"/>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January 13,</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0.92 – 4.54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 – 5.00</w:t>
            </w:r>
          </w:p>
        </w:tc>
        <w:tc>
          <w:tcPr>
            <w:tcW w:w="18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Series B Trigger Announcement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increase if Series B Trigger Announcement occurs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decrease if Series B Trigger Announcement does not occur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Income Taxes</w:t>
      </w:r>
    </w:p>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record uncertain tax positions in accordance with ASC 740, </w:t>
      </w:r>
      <w:r>
        <w:rPr>
          <w:rFonts w:ascii="Times New Roman" w:hAnsi="Times New Roman"/>
          <w:i/>
          <w:caps w:val="false"/>
          <w:smallCaps w:val="false"/>
          <w:sz w:val="20"/>
        </w:rPr>
        <w:t>Income Taxes</w:t>
      </w:r>
      <w:r>
        <w:rPr>
          <w:rFonts w:ascii="Times New Roman" w:hAnsi="Times New Roman"/>
          <w:caps w:val="false"/>
          <w:smallCaps w:val="false"/>
          <w:sz w:val="20"/>
        </w:rPr>
        <w:t>, on the basis of a two-step process to (i) determine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likely to be realized upon ultimate settlement with the related tax authority. We recognize deferred tax assets to the extent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recent results of operations. If we determine that we would be able to realize any deferred tax assets in the future in excess of their net recorded amount, we would make an adjustment to the deferred tax asset valuation allowance, which would reduce the provision for income taxes. The estimation of these factors requires significant judgment. Based on our evaluation of these factors, we have not recorded income tax benefits for the net operating losses or for research and development tax credits or other deferred tax assets due to uncertainty of realizing benefits from these items.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arrangements using a fair value-based method for costs related to all share-based payments including stock options and stock awards. The fair value is recognized over the period during which a grantee was required to provide services in exchange for the option award and service-based stock awards, known as the requisite service period (usually the vesting period), on a straight-line basis. For stock awards with market conditions, the fair value is recognized over the period based on the expected milestone achievement dates as the derived service period (usually the vesting period), on a straight-line basis. For stock awards with performance conditions, the grant-date fair value of these awards is the market price on the applicable grant date, and compensation expense will be recognized when the conditions become probable of being satisfied. We will recognize a cumulative true-up adjustment once the conditions become probable of being satisfied as the related service period had been completed in a prior period. We elect to account for forfeitures as they occur, rather than estimating expected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estimate the fair value of stock options using a Black-Scholes option-pricing model, which requires significant judgment. The unobservable valuation inputs were as follows:</w:t>
      </w:r>
    </w:p>
    <w:p>
      <w:pPr>
        <w:pStyle w:val="TextBody"/>
        <w:bidi w:val="0"/>
        <w:spacing w:before="0" w:after="0"/>
        <w:ind w:left="0" w:right="0" w:firstLine="50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2855"/>
        <w:gridCol w:w="60"/>
        <w:gridCol w:w="60"/>
        <w:gridCol w:w="1415"/>
        <w:gridCol w:w="185"/>
        <w:gridCol w:w="60"/>
        <w:gridCol w:w="60"/>
        <w:gridCol w:w="1520"/>
        <w:gridCol w:w="18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p>
        </w:tc>
        <w:tc>
          <w:tcPr>
            <w:tcW w:w="18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8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 – 107.55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103.78% – 110.25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 – 4.27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 – 4.24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of options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 – 6.09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 – 6.25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1" w:name="Item_3._Quantitative_and_Qualitative_Dis"/>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Item_4._Controls_and_Procedure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management, including our principal executive officer and principal financial officer, we conducted an evaluation of the effectiveness of our disclosure controls and procedures as of June 30, 2026, as such term is defined in Rules 13a-15(e) and 15d-15(e) of the Securities Exchange Act of 1934 (the “Exchange Act”). As a result of this evaluation, our principal executive officer and principal financial officer have concluded that, as of June 30, 2026, our disclosure controls and procedures were not effective due to the material weaknesses in internal control over financial reporting described below. Notwithstanding the identified material weaknesses, management, including our principal executive officer and principal financial officer, believes the condensed consolidated financial statements included in this Quarterly Report fairly represent, in all material respects, our financial condition, results of operations and cash flows as of and for the periods presented in accordance with U.S. Generally Accepted Accounting Principles.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audit of our financial statements as of and for the years ended December 31, 2025 and 2024,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the fact that we did not design or maintain an effective control environment commensurate with our financial reporting requirements. This deficiency in our control environment contributed to the following additional material weaknesses related to control activities and information and communication within our internal control over financial reporting: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did not design and maintain controls over the preparation and review of reconciliations and the review and segregation of duties over manual journal entries, including controls over the completeness and accuracy of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did not design and maintain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our appropriate personnel; (b) program change management controls to ensure that IT program and data changes affecting financial IT applications and underlying accounting records are identified, tested, authorized, and implemented appropriately; (c) computer operations controls to ensure that data backups are authorized and monitored; and (d) testing and approval controls for program development to ensure that new software development is aligned with business and IT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Each of the control deficiencies described above could result in a misstatement of one or more account balances or disclosures that would result in a material misstatement to the annual or interim consolidated financial statements that would not be prevented or detected. Accordingly, our management has determined that each of the control deficiencies described above constitute material weaknesses.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Weakness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Management continues to be actively engaged and committed to taking the steps necessary to remediate the control deficiencies that constituted the above material weaknesses. During 2025, we made the following enhancements to our control environment: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strengthened the experience of our internal accounting team through refinement of our processes and internal controls over financial reporting and our IT and technical accounting resources;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until we have sufficient technical accounting resources, we engaged external consultants to provide support and to assist us in our evaluation of more complex applications of GAAP.</w:t>
            </w:r>
          </w:p>
        </w:tc>
      </w:tr>
    </w:tbl>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remediation activities are continuing during 2026. In addition to the above actions, we expect to engage in additional activities, or have completed additional activities, including, but not limited to:</w:t>
      </w:r>
    </w:p>
    <w:p>
      <w:pPr>
        <w:pStyle w:val="TextBody"/>
        <w:bidi w:val="0"/>
        <w:spacing w:before="0" w:after="0"/>
        <w:ind w:left="0" w:right="0" w:firstLine="126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adding more technical accounting resources to enhance our control environment;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until we have sufficient technical accounting resources, engaging external consultants to provide support and to assist us in our evaluation of more complex applications of GAAP.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Other than changes described under “—</w:t>
      </w:r>
      <w:r>
        <w:rPr>
          <w:rFonts w:ascii="Times New Roman" w:hAnsi="Times New Roman"/>
          <w:i/>
          <w:caps w:val="false"/>
          <w:smallCaps w:val="false"/>
          <w:sz w:val="20"/>
        </w:rPr>
        <w:t>Material Weakness Remediation</w:t>
      </w:r>
      <w:r>
        <w:rPr>
          <w:rFonts w:ascii="Times New Roman" w:hAnsi="Times New Roman"/>
          <w:caps w:val="false"/>
          <w:smallCaps w:val="false"/>
          <w:sz w:val="20"/>
        </w:rPr>
        <w:t>,” above 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bookmarkStart w:id="13" w:name="PART_IIOTHER_INFORMATION"/>
      <w:bookmarkEnd w:id="13"/>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Item_1._Legal_Proceedings"/>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not currently a party to any material pending legal proceedings. From time to time, we may, however, be involved in legal proceedings in the ordinary course of business. We cannot predict the outcome of any such legal proceedings, and despite the potential outcomes, the existence thereof may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tem_1A._Risk_Factors"/>
      <w:bookmarkEnd w:id="15"/>
      <w:r>
        <w:rPr>
          <w:rFonts w:ascii="Times New Roman" w:hAnsi="Times New Roman"/>
          <w:b/>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business, financial condition, and results of operations can be affected by a number of factors, whether currently known or unknown, including, but not limited to, those described in Part I, Item 1A, Risk Factors of our 2025 Annual Report on Form 10-K, which was filed with the SEC on March 17, 2026. There have been no material changes to the risk factors since previously disclosed in the 2025 Annual Report on Form 10-K. Any one or more of these factors could, directly or indirectly, cause our actual financial condition and results of operations to vary materially from past, or from anticipated future, financial condition and results of operations. Any of these factors, in whole or in part, could materially and adversely affect our business, financial condition, results of operations, and stock price.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Item_2._Unregistered_Sales_of_Equity_Sec"/>
      <w:bookmarkEnd w:id="16"/>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90"/>
        <w:gridCol w:w="3290"/>
      </w:tblGrid>
      <w:tr>
        <w:trPr/>
        <w:tc>
          <w:tcPr>
            <w:tcW w:w="2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 </w:t>
            </w:r>
          </w:p>
        </w:tc>
        <w:tc>
          <w:tcPr>
            <w:tcW w:w="32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 </w:t>
            </w:r>
          </w:p>
        </w:tc>
        <w:tc>
          <w:tcPr>
            <w:tcW w:w="13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75"/>
        <w:gridCol w:w="587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 </w:t>
            </w:r>
          </w:p>
        </w:tc>
        <w:tc>
          <w:tcPr>
            <w:tcW w:w="58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Item_3._Defaults_Upon_Senior_Securities"/>
      <w:bookmarkEnd w:id="17"/>
      <w:r>
        <w:rPr>
          <w:rFonts w:ascii="Times New Roman" w:hAnsi="Times New Roman"/>
          <w:b/>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8" w:name="Item_4._Mine_Safety_Disclosures"/>
      <w:bookmarkEnd w:id="18"/>
      <w:r>
        <w:rPr>
          <w:rFonts w:ascii="Times New Roman" w:hAnsi="Times New Roman"/>
          <w:b/>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both"/>
        <w:rPr/>
      </w:pPr>
      <w:bookmarkStart w:id="19" w:name="Item_5._Other_Information"/>
      <w:bookmarkEnd w:id="19"/>
      <w:r>
        <w:rPr>
          <w:rFonts w:ascii="Times New Roman" w:hAnsi="Times New Roman"/>
          <w:b/>
          <w:sz w:val="20"/>
        </w:rPr>
        <w:t xml:space="preserve">Item </w:t>
      </w:r>
      <w:r>
        <w:rPr>
          <w:rStyle w:val="Emphasis"/>
          <w:rFonts w:ascii="Times New Roman" w:hAnsi="Times New Roman"/>
          <w:b/>
          <w:sz w:val="20"/>
        </w:rPr>
        <w:t>5.</w:t>
      </w:r>
      <w:r>
        <w:rPr>
          <w:rFonts w:ascii="Times New Roman" w:hAnsi="Times New Roman"/>
          <w:b/>
          <w:sz w:val="20"/>
        </w:rPr>
        <w:t xml:space="preserve">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our officers or directors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Times;serif" w:hAnsi="Times New Roman;Times;serif"/>
          <w:sz w:val="20"/>
        </w:rPr>
        <w:t>43</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0" w:name="Item_6._Exhibits"/>
      <w:bookmarkEnd w:id="20"/>
      <w:r>
        <w:rPr>
          <w:rFonts w:ascii="Times New Roman" w:hAnsi="Times New Roman"/>
          <w:b/>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7"/>
        <w:gridCol w:w="60"/>
        <w:gridCol w:w="9258"/>
      </w:tblGrid>
      <w:tr>
        <w:trPr/>
        <w:tc>
          <w:tcPr>
            <w:tcW w:w="88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Exhibit Number</w:t>
            </w:r>
          </w:p>
        </w:tc>
        <w:tc>
          <w:tcPr>
            <w:tcW w:w="60" w:type="dxa"/>
            <w:tcBorders/>
            <w:tcMar>
              <w:bottom w:w="0" w:type="dxa"/>
            </w:tcMar>
            <w:vAlign w:val="center"/>
          </w:tcPr>
          <w:p>
            <w:pPr>
              <w:pStyle w:val="TableContents"/>
              <w:bidi w:val="0"/>
              <w:spacing w:before="0" w:after="283"/>
              <w:jc w:val="left"/>
              <w:rPr/>
            </w:pPr>
            <w:r>
              <w:rPr/>
              <w:t> </w:t>
            </w:r>
          </w:p>
        </w:tc>
        <w:tc>
          <w:tcPr>
            <w:tcW w:w="925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Exhibit Description</w:t>
            </w:r>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Underwriting Agreement, dated May 5, 2026, by and between Clene Inc. and Canaccord Genuity LLC (incorporated by reference to Exhibit 1.1 to the Current Report on Form 8-K filed by the registrant on May 5, 2026).</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rPr>
                <w:t>Fourth Amended and Restated Certificate of Incorporation of Clene Inc. (incorporated by reference to Exhibit 3.1 to the Current Report on Form 8-K filed by the registrant on May 11, 2023).</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to the Fourth Amended and Restated Certificate of Incorporation of Clene Inc. (incorporated by reference to Exhibit 3.1 to the Current Report on Form 8-K filed by the registrant on May 30, 2024).</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the Fourth Amended and Restated Certificate of Incorporation of Clene Inc. (incorporated by reference to Exhibit 3.1 to the Current Report on Form 8-K filed by the registrant on July 9, 2024).</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rPr>
                <w:t>Bylaws of Clene Inc. (incorporated by reference to Exhibit 3.2 to the Current Report on Form 8-K filed by the Registrant on January 5, 2021).</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w:anchor="ex_967797.htm">
              <w:r>
                <w:rPr>
                  <w:rStyle w:val="InternetLink"/>
                  <w:rFonts w:ascii="Times New Roman;Times;serif" w:hAnsi="Times New Roman;Times;serif"/>
                  <w:sz w:val="20"/>
                </w:rPr>
                <w:t>Letter Agreement, dated April 22, 2026, by and between Clene Inc. and 4Life Research, LLC (incorporated by reference to Exhibit 10.4 to the Quarterly Report on Form 10-Q filed by the registrant on May 14, 2026).</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w:anchor="ex_967798.htm">
              <w:r>
                <w:rPr>
                  <w:rStyle w:val="InternetLink"/>
                  <w:rFonts w:ascii="Times New Roman;Times;serif" w:hAnsi="Times New Roman;Times;serif"/>
                  <w:sz w:val="20"/>
                </w:rPr>
                <w:t>Form of Second Amended &amp; Restated Senior Secured Convertible Promissory Note (incorporated by reference to Exhibit 10.5 to the Quarterly Report on Form 10-Q filed by the registrant on May 14, 2026).</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Form of Amended &amp; Restated Senior Secured Convertible Promissory Notes (incorporated by reference to Exhibit 10.1 to the Current Report on Form 8-K filed by the registrant on May 22, 2026).</w:t>
              </w:r>
            </w:hyperlink>
          </w:p>
        </w:tc>
      </w:tr>
      <w:tr>
        <w:trPr/>
        <w:tc>
          <w:tcPr>
            <w:tcW w:w="8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Clene Inc. Amended 2020 Stock Plan (incorporated by reference to Exhibit 10.2 to the Current Report on Form 8-K filed by the registrant on May 22, 2026).</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w:anchor="ex_967799.htm">
              <w:r>
                <w:rPr>
                  <w:rStyle w:val="InternetLink"/>
                  <w:rFonts w:ascii="Times New Roman;Times;serif" w:hAnsi="Times New Roman;Times;serif"/>
                  <w:caps w:val="false"/>
                  <w:smallCaps w:val="false"/>
                  <w:sz w:val="20"/>
                </w:rPr>
                <w:t>Certification of Chief Executive Officer pursuant to Rule 13a-14(a) and Rule 15d-14(a), promulgated under the Securities and Exchange Act of 1934, as amended.</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w:anchor="ex_967800.htm">
              <w:r>
                <w:rPr>
                  <w:rStyle w:val="InternetLink"/>
                  <w:rFonts w:ascii="Times New Roman;Times;serif" w:hAnsi="Times New Roman;Times;serif"/>
                  <w:caps w:val="false"/>
                  <w:smallCaps w:val="false"/>
                  <w:sz w:val="20"/>
                </w:rPr>
                <w:t>Certification of Chief Financial Officer pursuant to Rule 13a-14(a) and Rule 15d-14(a), promulgated under the Securities and Exchange Act of 1934, as amended.</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w:anchor="ex_967801.htm">
              <w:r>
                <w:rPr>
                  <w:rStyle w:val="InternetLink"/>
                  <w:rFonts w:ascii="Times New Roman;Times;serif" w:hAnsi="Times New Roman;Times;serif"/>
                  <w:caps w:val="false"/>
                  <w:smallCaps w:val="false"/>
                  <w:sz w:val="20"/>
                </w:rPr>
                <w:t>Certification of Chief Executive Officer pursuant to 18 U.S.C. Section 1350, as adopted pursuant to Section 906 of the Sarbanes-Oxley Act of 2002.</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pPr>
            <w:hyperlink w:anchor="ex_967802.htm">
              <w:r>
                <w:rPr>
                  <w:rStyle w:val="InternetLink"/>
                  <w:rFonts w:ascii="Times New Roman;Times;serif" w:hAnsi="Times New Roman;Times;serif"/>
                  <w:caps w:val="false"/>
                  <w:smallCaps w:val="false"/>
                  <w:sz w:val="20"/>
                </w:rPr>
                <w:t>Certification of Chief Financial Officer pursuant to 18 U.S.C. Section 1350, as adopted pursuant to Section 906 of the Sarbanes-Oxley Act of 2002.</w:t>
              </w:r>
            </w:hyperlink>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r>
      <w:tr>
        <w:trPr/>
        <w:tc>
          <w:tcPr>
            <w:tcW w:w="8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887"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58"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tbl>
      <w:tblPr>
        <w:tblW w:w="1660" w:type="dxa"/>
        <w:jc w:val="left"/>
        <w:tblInd w:w="0" w:type="dxa"/>
        <w:tblLayout w:type="fixed"/>
        <w:tblCellMar>
          <w:top w:w="0" w:type="dxa"/>
          <w:left w:w="0" w:type="dxa"/>
          <w:bottom w:w="0" w:type="dxa"/>
          <w:right w:w="0" w:type="dxa"/>
        </w:tblCellMar>
      </w:tblPr>
      <w:tblGrid>
        <w:gridCol w:w="60"/>
        <w:gridCol w:w="200"/>
        <w:gridCol w:w="14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1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Filed herewith.</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1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Furnished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1970"/>
        <w:gridCol w:w="545"/>
        <w:gridCol w:w="3845"/>
      </w:tblGrid>
      <w:tr>
        <w:trPr/>
        <w:tc>
          <w:tcPr>
            <w:tcW w:w="1970"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CLENE INC.</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 August 14, 2026</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Robert Etherington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Etherington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Chief Executive Officer and Director</w:t>
            </w:r>
          </w:p>
        </w:tc>
      </w:tr>
      <w:tr>
        <w:trPr/>
        <w:tc>
          <w:tcPr>
            <w:tcW w:w="1970"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 August 14, 2026</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Morgan R. Brown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Morgan R. Brown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45 </w:t>
      </w:r>
    </w:p>
    <w:p>
      <w:pPr>
        <w:pStyle w:val="TextBody"/>
        <w:bidi w:val="0"/>
        <w:spacing w:before="0" w:after="0"/>
        <w:ind w:left="0" w:right="0" w:hanging="0"/>
        <w:jc w:val="right"/>
        <w:rPr>
          <w:rFonts w:ascii="Times New Roman" w:hAnsi="Times New Roman"/>
          <w:b/>
          <w:caps w:val="false"/>
          <w:smallCaps w:val="false"/>
          <w:sz w:val="20"/>
        </w:rPr>
      </w:pPr>
      <w:bookmarkStart w:id="22" w:name="ex_967799.htm"/>
      <w:bookmarkStart w:id="23" w:name="ksex_967799"/>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Etherington,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70"/>
        <w:gridCol w:w="53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Clene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4" w:name="led391585F20233131681409098230"/>
      <w:bookmarkEnd w:id="24"/>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Etherington</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Etherington</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967800.htm"/>
      <w:bookmarkStart w:id="26" w:name="ksex_967800"/>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Morgan R. Brown, certify that:</w:t>
      </w:r>
    </w:p>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170"/>
        <w:gridCol w:w="53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Clene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7" w:name="led391585F20233131681412100537"/>
      <w:bookmarkEnd w:id="27"/>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60"/>
        <w:gridCol w:w="1880"/>
      </w:tblGrid>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Morgan R. Brown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Morgan R. Brown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967801.htm"/>
      <w:bookmarkStart w:id="29" w:name="ksex_967801"/>
      <w:bookmarkEnd w:id="28"/>
      <w:bookmarkEnd w:id="2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Robert Etherington, President and Chief Executive Officer of Clene Inc. (the “Company”), hereby certifies that, to the best of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30" w:name="led391585F20233131681414639849"/>
            <w:bookmarkEnd w:id="30"/>
            <w:r>
              <w:rPr>
                <w:rFonts w:ascii="Times New Roman;Times;serif" w:hAnsi="Times New Roman;Times;serif"/>
                <w:sz w:val="20"/>
              </w:rPr>
              <w:t>June 30, 2026, to which this Certification is attached as Exhibit 32.1 (the “Quarterly Report”), fully complies with the requirements of Section 13(a) or Section 15(d)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31" w:name="led391585F20233131681412909747"/>
      <w:bookmarkEnd w:id="31"/>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Etherington</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Etherington</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967802.htm"/>
      <w:bookmarkStart w:id="33" w:name="ksex_967802"/>
      <w:bookmarkEnd w:id="32"/>
      <w:bookmarkEnd w:id="33"/>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Morgan R. Brown, Chief Financial Officer of Clene Inc. (the “Company”), hereby certifies that, to the best of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34" w:name="led391585F20233131681414600400"/>
            <w:bookmarkEnd w:id="34"/>
            <w:r>
              <w:rPr>
                <w:rFonts w:ascii="Times New Roman;Times;serif" w:hAnsi="Times New Roman;Times;serif"/>
                <w:sz w:val="20"/>
              </w:rPr>
              <w:t>June 30, 2026, to which this Certification is attached as Exhibit 32.2 (the “Quarterly Report”), fully complies with the requirements of Section 13(a) or Section 15(d)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35" w:name="led391585F20233131681414502398"/>
      <w:bookmarkEnd w:id="35"/>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60"/>
        <w:gridCol w:w="1880"/>
      </w:tblGrid>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Morgan R. Brown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Morgan R. Brown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2791/000143774926014946/ex_948954.htm" TargetMode="External"/><Relationship Id="rId4" Type="http://schemas.openxmlformats.org/officeDocument/2006/relationships/hyperlink" Target="http://www.sec.gov/Archives/edgar/data/1822791/000143774923013721/ex_517370.htm" TargetMode="External"/><Relationship Id="rId5" Type="http://schemas.openxmlformats.org/officeDocument/2006/relationships/hyperlink" Target="http://www.sec.gov/Archives/edgar/data/0001822791/000143774924018759/ex_680309.htm" TargetMode="External"/><Relationship Id="rId6" Type="http://schemas.openxmlformats.org/officeDocument/2006/relationships/hyperlink" Target="http://www.sec.gov/Archives/edgar/data/1822791/000143774924022352/ex_692896.htm" TargetMode="External"/><Relationship Id="rId7" Type="http://schemas.openxmlformats.org/officeDocument/2006/relationships/hyperlink" Target="http://www.sec.gov/Archives/edgar/data/1822791/000121390021000487/ea132520ex3-2_cleneinc.htm" TargetMode="External"/><Relationship Id="rId8" Type="http://schemas.openxmlformats.org/officeDocument/2006/relationships/hyperlink" Target="http://www.sec.gov/Archives/edgar/data/1822791/000143774926018267/ex_967330.htm" TargetMode="External"/><Relationship Id="rId9" Type="http://schemas.openxmlformats.org/officeDocument/2006/relationships/hyperlink" Target="http://www.sec.gov/Archives/edgar/data/1822791/000143774926018267/ex_963475.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29350</Words>
  <Characters>156552</Characters>
  <CharactersWithSpaces>188122</CharactersWithSpaces>
  <Paragraphs>9341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